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55DD2C" w14:textId="77777777" w:rsidR="009A24BF" w:rsidRPr="00E960BB" w:rsidRDefault="00997F14" w:rsidP="009A24BF">
      <w:pPr>
        <w:spacing w:line="240" w:lineRule="auto"/>
        <w:jc w:val="right"/>
        <w:rPr>
          <w:rFonts w:ascii="Corbel" w:hAnsi="Corbel"/>
          <w:bCs/>
          <w:i/>
        </w:rPr>
      </w:pPr>
      <w:r w:rsidRPr="00DB262B">
        <w:rPr>
          <w:rFonts w:ascii="Corbel" w:hAnsi="Corbel"/>
          <w:b/>
          <w:bCs/>
        </w:rPr>
        <w:t xml:space="preserve">   </w:t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CD6897" w:rsidRPr="00DB262B">
        <w:rPr>
          <w:rFonts w:ascii="Corbel" w:hAnsi="Corbel"/>
          <w:b/>
          <w:bCs/>
        </w:rPr>
        <w:tab/>
      </w:r>
      <w:r w:rsidR="009A24BF" w:rsidRPr="00B169DF">
        <w:rPr>
          <w:rFonts w:ascii="Corbel" w:hAnsi="Corbel"/>
          <w:bCs/>
          <w:i/>
        </w:rPr>
        <w:t>Załącznik nr 1.5 do Zarządzenia Rektora UR nr 7/2023</w:t>
      </w:r>
    </w:p>
    <w:p w14:paraId="7312B2BA" w14:textId="77777777" w:rsidR="009A24BF" w:rsidRPr="009C54AE" w:rsidRDefault="009A24BF" w:rsidP="009A24B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F5F904B" w14:textId="77777777" w:rsidR="009A24BF" w:rsidRPr="009C54AE" w:rsidRDefault="009A24BF" w:rsidP="009A24B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b/>
          <w:smallCaps/>
          <w:sz w:val="24"/>
          <w:szCs w:val="24"/>
        </w:rPr>
        <w:t>2023/2024-</w:t>
      </w:r>
      <w:r w:rsidR="00A03691">
        <w:rPr>
          <w:rFonts w:ascii="Corbel" w:hAnsi="Corbel"/>
          <w:b/>
          <w:smallCaps/>
          <w:sz w:val="24"/>
          <w:szCs w:val="24"/>
        </w:rPr>
        <w:t>2027/2028</w:t>
      </w:r>
    </w:p>
    <w:p w14:paraId="002F5781" w14:textId="77777777" w:rsidR="009A24BF" w:rsidRDefault="009A24BF" w:rsidP="009A24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333CA391" w14:textId="77777777" w:rsidR="009A24BF" w:rsidRPr="009A24BF" w:rsidRDefault="009A24BF" w:rsidP="009A24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2025/2026</w:t>
      </w:r>
    </w:p>
    <w:p w14:paraId="385BB1E4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DB262B">
        <w:rPr>
          <w:rFonts w:ascii="Corbel" w:hAnsi="Corbel"/>
          <w:szCs w:val="24"/>
        </w:rPr>
        <w:t xml:space="preserve">1. </w:t>
      </w:r>
      <w:r w:rsidR="0085747A" w:rsidRPr="00DB262B">
        <w:rPr>
          <w:rFonts w:ascii="Corbel" w:hAnsi="Corbel"/>
          <w:szCs w:val="24"/>
        </w:rPr>
        <w:t xml:space="preserve">Podstawowe </w:t>
      </w:r>
      <w:r w:rsidR="00445970" w:rsidRPr="00DB262B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DB262B" w14:paraId="619F9AD6" w14:textId="77777777" w:rsidTr="00DB262B">
        <w:tc>
          <w:tcPr>
            <w:tcW w:w="2694" w:type="dxa"/>
            <w:vAlign w:val="center"/>
          </w:tcPr>
          <w:p w14:paraId="30C4533E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6BA3C13" w14:textId="77777777" w:rsidR="0085747A" w:rsidRPr="00A03691" w:rsidRDefault="00023AB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A03691">
              <w:rPr>
                <w:rFonts w:ascii="Corbel" w:hAnsi="Corbel"/>
                <w:b w:val="0"/>
                <w:bCs/>
                <w:color w:val="auto"/>
                <w:sz w:val="22"/>
              </w:rPr>
              <w:t>Publiczne prawo gospodarcze</w:t>
            </w:r>
          </w:p>
        </w:tc>
      </w:tr>
      <w:tr w:rsidR="0085747A" w:rsidRPr="00DB262B" w14:paraId="693F7521" w14:textId="77777777" w:rsidTr="00DB262B">
        <w:tc>
          <w:tcPr>
            <w:tcW w:w="2694" w:type="dxa"/>
            <w:vAlign w:val="center"/>
          </w:tcPr>
          <w:p w14:paraId="43040059" w14:textId="77777777" w:rsidR="0085747A" w:rsidRPr="00DB262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B8E32CC" w14:textId="77777777" w:rsidR="0085747A" w:rsidRPr="00DB262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DB262B" w14:paraId="6848C888" w14:textId="77777777" w:rsidTr="00DB262B">
        <w:tc>
          <w:tcPr>
            <w:tcW w:w="2694" w:type="dxa"/>
            <w:vAlign w:val="center"/>
          </w:tcPr>
          <w:p w14:paraId="427D5598" w14:textId="77777777" w:rsidR="0085747A" w:rsidRPr="00DB262B" w:rsidRDefault="004E3B4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DB262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D49838E" w14:textId="77777777" w:rsidR="0085747A" w:rsidRPr="00A03691" w:rsidRDefault="004524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sz w:val="22"/>
              </w:rPr>
              <w:t>Kolegium Nauk Społecznych</w:t>
            </w:r>
          </w:p>
        </w:tc>
      </w:tr>
      <w:tr w:rsidR="00DB262B" w:rsidRPr="00DB262B" w14:paraId="129C5954" w14:textId="77777777" w:rsidTr="00DB262B">
        <w:tc>
          <w:tcPr>
            <w:tcW w:w="2694" w:type="dxa"/>
            <w:vAlign w:val="center"/>
          </w:tcPr>
          <w:p w14:paraId="4B420377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E8BC1F3" w14:textId="77777777" w:rsidR="00DB262B" w:rsidRPr="00A03691" w:rsidRDefault="004524B0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sz w:val="22"/>
              </w:rPr>
              <w:t>Instytut Nauk Prawnych/Zakład Prawa Gospodarczego</w:t>
            </w:r>
          </w:p>
        </w:tc>
      </w:tr>
      <w:tr w:rsidR="00DB262B" w:rsidRPr="00DB262B" w14:paraId="7BD3FC18" w14:textId="77777777" w:rsidTr="00DB262B">
        <w:tc>
          <w:tcPr>
            <w:tcW w:w="2694" w:type="dxa"/>
            <w:vAlign w:val="center"/>
          </w:tcPr>
          <w:p w14:paraId="131B9B0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516EECD" w14:textId="77777777" w:rsidR="00DB262B" w:rsidRPr="00A03691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2"/>
              </w:rPr>
            </w:pPr>
            <w:r w:rsidRPr="00A03691">
              <w:rPr>
                <w:rFonts w:ascii="Corbel" w:hAnsi="Corbel"/>
                <w:b w:val="0"/>
                <w:color w:val="auto"/>
                <w:sz w:val="22"/>
              </w:rPr>
              <w:t>Prawo</w:t>
            </w:r>
          </w:p>
        </w:tc>
      </w:tr>
      <w:tr w:rsidR="00DB262B" w:rsidRPr="00DB262B" w14:paraId="682BB3FB" w14:textId="77777777" w:rsidTr="00DB262B">
        <w:tc>
          <w:tcPr>
            <w:tcW w:w="2694" w:type="dxa"/>
            <w:vAlign w:val="center"/>
          </w:tcPr>
          <w:p w14:paraId="0E7B2BD1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64CB79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Jednolite Magisterskie</w:t>
            </w:r>
          </w:p>
        </w:tc>
      </w:tr>
      <w:tr w:rsidR="00DB262B" w:rsidRPr="00DB262B" w14:paraId="44435640" w14:textId="77777777" w:rsidTr="00DB262B">
        <w:tc>
          <w:tcPr>
            <w:tcW w:w="2694" w:type="dxa"/>
            <w:vAlign w:val="center"/>
          </w:tcPr>
          <w:p w14:paraId="6FA490C1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521D8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</w:rPr>
              <w:t>Ogólnoakademicki</w:t>
            </w:r>
            <w:proofErr w:type="spellEnd"/>
          </w:p>
        </w:tc>
      </w:tr>
      <w:tr w:rsidR="00DB262B" w:rsidRPr="00DB262B" w14:paraId="67225F2B" w14:textId="77777777" w:rsidTr="00DB262B">
        <w:tc>
          <w:tcPr>
            <w:tcW w:w="2694" w:type="dxa"/>
            <w:vAlign w:val="center"/>
          </w:tcPr>
          <w:p w14:paraId="6650B468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125EDD8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Niestacjonarne</w:t>
            </w:r>
          </w:p>
        </w:tc>
      </w:tr>
      <w:tr w:rsidR="00DB262B" w:rsidRPr="00DB262B" w14:paraId="43A17FA8" w14:textId="77777777" w:rsidTr="00DB262B">
        <w:tc>
          <w:tcPr>
            <w:tcW w:w="2694" w:type="dxa"/>
            <w:vAlign w:val="center"/>
          </w:tcPr>
          <w:p w14:paraId="2CA9DD73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BA13CAD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 xml:space="preserve">Rok </w:t>
            </w:r>
            <w:r w:rsidRPr="00DB262B">
              <w:rPr>
                <w:rFonts w:ascii="Corbel" w:hAnsi="Corbel"/>
                <w:b w:val="0"/>
              </w:rPr>
              <w:t>III</w:t>
            </w:r>
            <w:r w:rsidRPr="00DB262B">
              <w:rPr>
                <w:rFonts w:ascii="Corbel" w:hAnsi="Corbel"/>
                <w:b w:val="0"/>
                <w:color w:val="auto"/>
                <w:sz w:val="22"/>
              </w:rPr>
              <w:t>, semestr V</w:t>
            </w:r>
          </w:p>
        </w:tc>
      </w:tr>
      <w:tr w:rsidR="00DB262B" w:rsidRPr="00DB262B" w14:paraId="44470589" w14:textId="77777777" w:rsidTr="00DB262B">
        <w:tc>
          <w:tcPr>
            <w:tcW w:w="2694" w:type="dxa"/>
            <w:vAlign w:val="center"/>
          </w:tcPr>
          <w:p w14:paraId="25AB1C7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06F98D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Obowiązkowy</w:t>
            </w:r>
          </w:p>
        </w:tc>
      </w:tr>
      <w:tr w:rsidR="00DB262B" w:rsidRPr="00DB262B" w14:paraId="64A2B433" w14:textId="77777777" w:rsidTr="00DB262B">
        <w:tc>
          <w:tcPr>
            <w:tcW w:w="2694" w:type="dxa"/>
            <w:vAlign w:val="center"/>
          </w:tcPr>
          <w:p w14:paraId="73AC30A8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D39FB5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color w:val="auto"/>
                <w:sz w:val="22"/>
              </w:rPr>
              <w:t>polski</w:t>
            </w:r>
          </w:p>
        </w:tc>
      </w:tr>
      <w:tr w:rsidR="00DB262B" w:rsidRPr="006E6400" w14:paraId="109693DD" w14:textId="77777777" w:rsidTr="00DB262B">
        <w:tc>
          <w:tcPr>
            <w:tcW w:w="2694" w:type="dxa"/>
            <w:vAlign w:val="center"/>
          </w:tcPr>
          <w:p w14:paraId="50E7F360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D708476" w14:textId="77777777" w:rsidR="00DB262B" w:rsidRPr="00DB262B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DB262B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Olszewski, prof. UR</w:t>
            </w:r>
          </w:p>
        </w:tc>
      </w:tr>
      <w:tr w:rsidR="00DB262B" w:rsidRPr="006E6400" w14:paraId="7AD6E1F0" w14:textId="77777777" w:rsidTr="00DB262B">
        <w:tc>
          <w:tcPr>
            <w:tcW w:w="2694" w:type="dxa"/>
            <w:vAlign w:val="center"/>
          </w:tcPr>
          <w:p w14:paraId="7BB33576" w14:textId="77777777" w:rsidR="00DB262B" w:rsidRPr="00DB262B" w:rsidRDefault="00DB262B" w:rsidP="00DB26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516E834" w14:textId="77777777" w:rsidR="00DB262B" w:rsidRPr="00130723" w:rsidRDefault="00DB262B" w:rsidP="00DB26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130723">
              <w:rPr>
                <w:rFonts w:ascii="Corbel" w:hAnsi="Corbel"/>
                <w:b w:val="0"/>
                <w:color w:val="auto"/>
                <w:sz w:val="22"/>
                <w:lang w:val="en-US"/>
              </w:rPr>
              <w:t>dr</w:t>
            </w:r>
            <w:proofErr w:type="spellEnd"/>
            <w:r w:rsidRPr="00130723">
              <w:rPr>
                <w:rFonts w:ascii="Corbel" w:hAnsi="Corbel"/>
                <w:b w:val="0"/>
                <w:color w:val="auto"/>
                <w:sz w:val="22"/>
                <w:lang w:val="en-US"/>
              </w:rPr>
              <w:t xml:space="preserve"> hab. Jan Olszewski</w:t>
            </w:r>
            <w:r w:rsidR="00130723" w:rsidRPr="00130723">
              <w:rPr>
                <w:rFonts w:ascii="Corbel" w:hAnsi="Corbel"/>
                <w:b w:val="0"/>
                <w:color w:val="auto"/>
                <w:sz w:val="22"/>
                <w:lang w:val="en-US"/>
              </w:rPr>
              <w:t>, prof. UR</w:t>
            </w:r>
          </w:p>
        </w:tc>
      </w:tr>
    </w:tbl>
    <w:p w14:paraId="20A6A63B" w14:textId="77777777" w:rsidR="0085747A" w:rsidRPr="00DB262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* </w:t>
      </w:r>
      <w:r w:rsidRPr="00DB262B">
        <w:rPr>
          <w:rFonts w:ascii="Corbel" w:hAnsi="Corbel"/>
          <w:i/>
          <w:sz w:val="24"/>
          <w:szCs w:val="24"/>
        </w:rPr>
        <w:t>-</w:t>
      </w:r>
      <w:r w:rsidR="00B90885" w:rsidRPr="00DB262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DB262B">
        <w:rPr>
          <w:rFonts w:ascii="Corbel" w:hAnsi="Corbel"/>
          <w:b w:val="0"/>
          <w:sz w:val="24"/>
          <w:szCs w:val="24"/>
        </w:rPr>
        <w:t>e,</w:t>
      </w:r>
      <w:r w:rsidRPr="00DB262B">
        <w:rPr>
          <w:rFonts w:ascii="Corbel" w:hAnsi="Corbel"/>
          <w:i/>
          <w:sz w:val="24"/>
          <w:szCs w:val="24"/>
        </w:rPr>
        <w:t xml:space="preserve"> </w:t>
      </w:r>
      <w:r w:rsidRPr="00DB262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DB262B">
        <w:rPr>
          <w:rFonts w:ascii="Corbel" w:hAnsi="Corbel"/>
          <w:b w:val="0"/>
          <w:i/>
          <w:sz w:val="24"/>
          <w:szCs w:val="24"/>
        </w:rPr>
        <w:t>w Jednostce</w:t>
      </w:r>
    </w:p>
    <w:p w14:paraId="3443EA98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C8B95CC" w14:textId="77777777" w:rsidR="0085747A" w:rsidRPr="00DB262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>1.</w:t>
      </w:r>
      <w:r w:rsidR="00E22FBC" w:rsidRPr="00DB262B">
        <w:rPr>
          <w:rFonts w:ascii="Corbel" w:hAnsi="Corbel"/>
          <w:sz w:val="24"/>
          <w:szCs w:val="24"/>
        </w:rPr>
        <w:t>1</w:t>
      </w:r>
      <w:r w:rsidRPr="00DB262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1FE7F04" w14:textId="77777777" w:rsidR="00923D7D" w:rsidRPr="00DB262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DB262B" w14:paraId="0E640A51" w14:textId="77777777" w:rsidTr="00DB26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700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Semestr</w:t>
            </w:r>
          </w:p>
          <w:p w14:paraId="1DE4AF02" w14:textId="77777777" w:rsidR="00015B8F" w:rsidRPr="00DB262B" w:rsidRDefault="002B5EA0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(</w:t>
            </w:r>
            <w:r w:rsidR="00363F78" w:rsidRPr="00DB262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AA5A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Wykł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123C0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545CE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Konw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CD80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5CEC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Sem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B72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A4E5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DB262B">
              <w:rPr>
                <w:rFonts w:ascii="Corbel" w:hAnsi="Corbel"/>
                <w:szCs w:val="24"/>
              </w:rPr>
              <w:t>Prakt</w:t>
            </w:r>
            <w:proofErr w:type="spellEnd"/>
            <w:r w:rsidRPr="00DB262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B77C2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DB262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E2165" w14:textId="77777777" w:rsidR="00015B8F" w:rsidRPr="00DB262B" w:rsidRDefault="00015B8F" w:rsidP="00DB26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DB262B">
              <w:rPr>
                <w:rFonts w:ascii="Corbel" w:hAnsi="Corbel"/>
                <w:b/>
                <w:szCs w:val="24"/>
              </w:rPr>
              <w:t>Liczba pkt</w:t>
            </w:r>
            <w:r w:rsidR="00B90885" w:rsidRPr="00DB262B">
              <w:rPr>
                <w:rFonts w:ascii="Corbel" w:hAnsi="Corbel"/>
                <w:b/>
                <w:szCs w:val="24"/>
              </w:rPr>
              <w:t>.</w:t>
            </w:r>
            <w:r w:rsidRPr="00DB262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DB262B" w14:paraId="4E01F1D5" w14:textId="77777777" w:rsidTr="00DB26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C8B1C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1882A" w14:textId="77777777" w:rsidR="00015B8F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45</w:t>
            </w:r>
          </w:p>
          <w:p w14:paraId="26F188AE" w14:textId="77777777" w:rsidR="009A24BF" w:rsidRPr="00DB262B" w:rsidRDefault="009A24B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53163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62F5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0921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BEC57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85AB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D694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E9CFE" w14:textId="77777777" w:rsidR="00015B8F" w:rsidRPr="00DB262B" w:rsidRDefault="00015B8F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9A314" w14:textId="77777777" w:rsidR="00015B8F" w:rsidRPr="00DB262B" w:rsidRDefault="00E80122" w:rsidP="00DB26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3BA761BB" w14:textId="77777777" w:rsidR="00923D7D" w:rsidRPr="00DB262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F5D053F" w14:textId="77777777" w:rsidR="00923D7D" w:rsidRPr="00DB262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E9F1236" w14:textId="77777777" w:rsidR="0085747A" w:rsidRPr="00DB262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1.</w:t>
      </w:r>
      <w:r w:rsidR="00E22FBC" w:rsidRPr="00DB262B">
        <w:rPr>
          <w:rFonts w:ascii="Corbel" w:hAnsi="Corbel"/>
          <w:smallCaps w:val="0"/>
          <w:szCs w:val="24"/>
        </w:rPr>
        <w:t>2</w:t>
      </w:r>
      <w:r w:rsidR="00F83B28" w:rsidRPr="00DB262B">
        <w:rPr>
          <w:rFonts w:ascii="Corbel" w:hAnsi="Corbel"/>
          <w:smallCaps w:val="0"/>
          <w:szCs w:val="24"/>
        </w:rPr>
        <w:t>.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 xml:space="preserve">Sposób realizacji zajęć  </w:t>
      </w:r>
    </w:p>
    <w:p w14:paraId="478A70AB" w14:textId="77777777" w:rsidR="0085747A" w:rsidRPr="00DB262B" w:rsidRDefault="00E801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DB262B">
        <w:rPr>
          <w:rFonts w:ascii="Segoe UI Symbol" w:eastAsia="MS Gothic" w:hAnsi="Segoe UI Symbol" w:cs="Segoe UI Symbol"/>
          <w:b w:val="0"/>
          <w:szCs w:val="24"/>
        </w:rPr>
        <w:t>☒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25111BCD" w14:textId="08A8EEEC" w:rsidR="0085747A" w:rsidRPr="00DB262B" w:rsidRDefault="00E453F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DB262B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C644C7C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D6EFB0" w14:textId="77777777" w:rsidR="00E22FBC" w:rsidRPr="00DB262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1.3 </w:t>
      </w:r>
      <w:r w:rsidR="00F83B28" w:rsidRPr="00DB262B">
        <w:rPr>
          <w:rFonts w:ascii="Corbel" w:hAnsi="Corbel"/>
          <w:smallCaps w:val="0"/>
          <w:szCs w:val="24"/>
        </w:rPr>
        <w:tab/>
      </w:r>
      <w:r w:rsidRPr="00DB262B">
        <w:rPr>
          <w:rFonts w:ascii="Corbel" w:hAnsi="Corbel"/>
          <w:smallCaps w:val="0"/>
          <w:szCs w:val="24"/>
        </w:rPr>
        <w:t>For</w:t>
      </w:r>
      <w:r w:rsidR="00445970" w:rsidRPr="00DB262B">
        <w:rPr>
          <w:rFonts w:ascii="Corbel" w:hAnsi="Corbel"/>
          <w:smallCaps w:val="0"/>
          <w:szCs w:val="24"/>
        </w:rPr>
        <w:t xml:space="preserve">ma zaliczenia przedmiotu </w:t>
      </w:r>
      <w:r w:rsidRPr="00DB262B">
        <w:rPr>
          <w:rFonts w:ascii="Corbel" w:hAnsi="Corbel"/>
          <w:smallCaps w:val="0"/>
          <w:szCs w:val="24"/>
        </w:rPr>
        <w:t xml:space="preserve">(z toku) </w:t>
      </w:r>
      <w:r w:rsidR="00E80122" w:rsidRPr="00DB262B">
        <w:rPr>
          <w:rFonts w:ascii="Corbel" w:hAnsi="Corbel"/>
          <w:b w:val="0"/>
          <w:smallCaps w:val="0"/>
          <w:szCs w:val="24"/>
        </w:rPr>
        <w:t>egzamin</w:t>
      </w:r>
    </w:p>
    <w:p w14:paraId="26B60715" w14:textId="77777777" w:rsidR="009C54AE" w:rsidRPr="00DB262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3A89CB" w14:textId="77777777" w:rsidR="00E960BB" w:rsidRPr="00DB262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0C5106E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t xml:space="preserve">2.Wymagania wstępne </w:t>
      </w:r>
    </w:p>
    <w:p w14:paraId="33142414" w14:textId="77777777" w:rsidR="00DB262B" w:rsidRPr="00DB262B" w:rsidRDefault="00DB262B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1D2E1059" w14:textId="77777777" w:rsidTr="00745302">
        <w:tc>
          <w:tcPr>
            <w:tcW w:w="9670" w:type="dxa"/>
          </w:tcPr>
          <w:p w14:paraId="26B8DE1F" w14:textId="77777777" w:rsidR="0085747A" w:rsidRPr="00DB262B" w:rsidRDefault="00E80122" w:rsidP="003D020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0"/>
              </w:rPr>
            </w:pPr>
            <w:r w:rsidRPr="00DB262B">
              <w:rPr>
                <w:rFonts w:ascii="Corbel" w:hAnsi="Corbel"/>
                <w:b w:val="0"/>
                <w:smallCaps w:val="0"/>
                <w:szCs w:val="20"/>
              </w:rPr>
              <w:t>Student powinien posiadać wiedzę w zakresie podstawowych instytucji prawa administracyjnego oraz cywilnego</w:t>
            </w:r>
          </w:p>
        </w:tc>
      </w:tr>
    </w:tbl>
    <w:p w14:paraId="0B35EBF2" w14:textId="77777777" w:rsidR="00153C41" w:rsidRPr="00DB262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EA94C93" w14:textId="77777777" w:rsidR="00DB262B" w:rsidRDefault="00DB26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FEB7CF1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DB262B">
        <w:rPr>
          <w:rFonts w:ascii="Corbel" w:hAnsi="Corbel"/>
          <w:szCs w:val="24"/>
        </w:rPr>
        <w:lastRenderedPageBreak/>
        <w:t>3.</w:t>
      </w:r>
      <w:r w:rsidR="0085747A" w:rsidRPr="00DB262B">
        <w:rPr>
          <w:rFonts w:ascii="Corbel" w:hAnsi="Corbel"/>
          <w:szCs w:val="24"/>
        </w:rPr>
        <w:t xml:space="preserve"> </w:t>
      </w:r>
      <w:r w:rsidR="00A84C85" w:rsidRPr="00DB262B">
        <w:rPr>
          <w:rFonts w:ascii="Corbel" w:hAnsi="Corbel"/>
          <w:szCs w:val="24"/>
        </w:rPr>
        <w:t>cele, efekty uczenia się</w:t>
      </w:r>
      <w:r w:rsidR="0085747A" w:rsidRPr="00DB262B">
        <w:rPr>
          <w:rFonts w:ascii="Corbel" w:hAnsi="Corbel"/>
          <w:szCs w:val="24"/>
        </w:rPr>
        <w:t>, treści Programowe i stosowane metody Dydaktyczne</w:t>
      </w:r>
    </w:p>
    <w:p w14:paraId="782505B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F5900FE" w14:textId="77777777" w:rsidR="0085747A" w:rsidRPr="00DB262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3.1 </w:t>
      </w:r>
      <w:r w:rsidR="00C05F44" w:rsidRPr="00DB262B">
        <w:rPr>
          <w:rFonts w:ascii="Corbel" w:hAnsi="Corbel"/>
          <w:sz w:val="24"/>
          <w:szCs w:val="24"/>
        </w:rPr>
        <w:t>Cele przedmiotu</w:t>
      </w:r>
    </w:p>
    <w:p w14:paraId="5487DD13" w14:textId="77777777" w:rsidR="00F83B28" w:rsidRPr="00DB262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DB262B" w14:paraId="5B4C990A" w14:textId="77777777" w:rsidTr="00DB262B">
        <w:tc>
          <w:tcPr>
            <w:tcW w:w="843" w:type="dxa"/>
            <w:vAlign w:val="center"/>
          </w:tcPr>
          <w:p w14:paraId="7B3902B5" w14:textId="77777777" w:rsidR="0085747A" w:rsidRPr="00DB262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B262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5529CDAB" w14:textId="77777777" w:rsidR="00755354" w:rsidRPr="00DB262B" w:rsidRDefault="00755354" w:rsidP="007553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Cambria" w:hAnsi="Corbel" w:cs="TimesNewRomanCE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</w:rPr>
              <w:t>Celem wykładu jest prezentacja przejawów i form</w:t>
            </w:r>
            <w:r w:rsidRPr="00DB262B">
              <w:rPr>
                <w:rFonts w:ascii="Corbel" w:eastAsia="Cambria" w:hAnsi="Corbel" w:cs="TimesNewRomanCE"/>
                <w:lang w:eastAsia="pl-PL"/>
              </w:rPr>
              <w:t xml:space="preserve"> oddziaływania państwa na gospodarkę przy wykorzystaniu różnorodnych instrumentów prawnych na płaszczyźnie przedmiotowej oraz procedury i środki oddziaływania pozwalające na kształtowanie stanu rzeczywistego i</w:t>
            </w:r>
            <w:r w:rsidR="00DB262B">
              <w:rPr>
                <w:rFonts w:ascii="Corbel" w:eastAsia="Cambria" w:hAnsi="Corbel" w:cs="TimesNewRomanCE"/>
                <w:lang w:eastAsia="pl-PL"/>
              </w:rPr>
              <w:t> </w:t>
            </w:r>
            <w:r w:rsidRPr="00DB262B">
              <w:rPr>
                <w:rFonts w:ascii="Corbel" w:eastAsia="Cambria" w:hAnsi="Corbel" w:cs="TimesNewRomanCE"/>
                <w:lang w:eastAsia="pl-PL"/>
              </w:rPr>
              <w:t>prawnego gospodarki w zgodzie z interesem publicznym.</w:t>
            </w:r>
          </w:p>
          <w:p w14:paraId="3FC3F2F6" w14:textId="77777777" w:rsidR="0085747A" w:rsidRPr="0086014F" w:rsidRDefault="00755354" w:rsidP="0086014F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 w:cs="TimesNewRomanCE"/>
                <w:lang w:eastAsia="pl-PL"/>
              </w:rPr>
              <w:t>Problematyka</w:t>
            </w:r>
            <w:r w:rsidRPr="00DB262B">
              <w:rPr>
                <w:rFonts w:ascii="Corbel" w:eastAsia="Cambria" w:hAnsi="Corbel"/>
              </w:rPr>
              <w:t xml:space="preserve"> wykładu obejmuje także zagadnienia związane konstrukcją prawną podmiotów gospodarczych oraz inicjowaniem działalności gospodarczej.</w:t>
            </w:r>
          </w:p>
        </w:tc>
      </w:tr>
    </w:tbl>
    <w:p w14:paraId="2497EE0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3932A67" w14:textId="77777777" w:rsidR="001D7B54" w:rsidRPr="00DB262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3.2 </w:t>
      </w:r>
      <w:r w:rsidR="001D7B54" w:rsidRPr="00DB262B">
        <w:rPr>
          <w:rFonts w:ascii="Corbel" w:hAnsi="Corbel"/>
          <w:b/>
          <w:sz w:val="24"/>
          <w:szCs w:val="24"/>
        </w:rPr>
        <w:t xml:space="preserve">Efekty </w:t>
      </w:r>
      <w:r w:rsidR="00C05F44" w:rsidRPr="00DB262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DB262B">
        <w:rPr>
          <w:rFonts w:ascii="Corbel" w:hAnsi="Corbel"/>
          <w:b/>
          <w:sz w:val="24"/>
          <w:szCs w:val="24"/>
        </w:rPr>
        <w:t>dla przedmiotu</w:t>
      </w:r>
      <w:r w:rsidR="00445970" w:rsidRPr="00DB262B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1A7902" w:rsidRPr="009C54AE" w14:paraId="5C464F58" w14:textId="77777777" w:rsidTr="001C3E68">
        <w:tc>
          <w:tcPr>
            <w:tcW w:w="1701" w:type="dxa"/>
            <w:vAlign w:val="center"/>
          </w:tcPr>
          <w:p w14:paraId="6FCEA388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5648AD2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2E8237" w14:textId="77777777" w:rsidR="001A7902" w:rsidRPr="009C54AE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A7902" w:rsidRPr="008B017C" w14:paraId="08194CA9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DB3B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smallCaps w:val="0"/>
                <w:szCs w:val="24"/>
              </w:rPr>
              <w:t>_</w:t>
            </w:r>
            <w:r w:rsidRPr="006A72B3">
              <w:rPr>
                <w:rFonts w:ascii="Corbel" w:hAnsi="Corbel"/>
                <w:smallCaps w:val="0"/>
                <w:szCs w:val="24"/>
              </w:rPr>
              <w:t>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D2E5E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kreśla podstawowe sfery oddziaływania państwa na gospodarkę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88E02" w14:textId="77777777" w:rsidR="001A7902" w:rsidRPr="00C01759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K_W04,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>K_W08,</w:t>
            </w:r>
          </w:p>
          <w:p w14:paraId="392CD5F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K_U05, K_U08</w:t>
            </w:r>
          </w:p>
        </w:tc>
      </w:tr>
      <w:tr w:rsidR="001A7902" w:rsidRPr="008B017C" w14:paraId="0E7B4B45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EA066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C3AF3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yjaśnia instytucje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E6A93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K_W08,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K_U01, K_U03, K_U04, K_U05, K_U07, K_U08</w:t>
            </w:r>
          </w:p>
        </w:tc>
      </w:tr>
      <w:tr w:rsidR="001A7902" w:rsidRPr="008B017C" w14:paraId="25B1103D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3C95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7E18B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stosowania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45AEE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K_W06, </w:t>
            </w:r>
            <w:r>
              <w:rPr>
                <w:rFonts w:ascii="Corbel" w:hAnsi="Corbel"/>
                <w:b w:val="0"/>
                <w:bCs/>
              </w:rPr>
              <w:t xml:space="preserve">K_W07, </w:t>
            </w:r>
            <w:r>
              <w:rPr>
                <w:rFonts w:ascii="Corbel" w:hAnsi="Corbel"/>
                <w:b w:val="0"/>
              </w:rPr>
              <w:t xml:space="preserve">K_W09, K_U01, K_U03,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A7902" w:rsidRPr="008B017C" w14:paraId="33CF3F1D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8BB5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E7DF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ymienia środki nadzoru i kontroli państwa nad działalnością przedsiębiorców w aspekcie regulacji publicznego prawa gospodarczego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74C19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</w:rPr>
              <w:t xml:space="preserve">K_W08,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1A7902" w:rsidRPr="008B017C" w14:paraId="03BBE18F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501D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974D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03FCA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 K_W06, K_U01, K_U06, K_U07, K_U08</w:t>
            </w:r>
          </w:p>
        </w:tc>
      </w:tr>
      <w:tr w:rsidR="001A7902" w:rsidRPr="008B017C" w14:paraId="4368415A" w14:textId="77777777" w:rsidTr="001C3E68">
        <w:trPr>
          <w:trHeight w:val="681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CEC4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084D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rozszerzoną wiedzę na temat ustroju struktur i zasad funkcjonowania organów administracji publicznej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8364F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K_W04, K_W06, </w:t>
            </w:r>
            <w:r>
              <w:rPr>
                <w:rFonts w:ascii="Corbel" w:hAnsi="Corbel"/>
                <w:b w:val="0"/>
                <w:bCs/>
              </w:rPr>
              <w:t>K_W07,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1A7902" w:rsidRPr="008B017C" w14:paraId="0418033C" w14:textId="77777777" w:rsidTr="001C3E68">
        <w:trPr>
          <w:trHeight w:val="1690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9FEC9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434C78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przygotowywania prac pisemnych oraz wystąpień ustnych dotyczących zagadnień i problemów prawnych związanych z publicznym prawem gospodarczym za pomocą odpowiednio dobranych metod, narzędzi oraz zaawansowanych technik informacyjno-komunikacyjnych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D9709D" w14:textId="77777777" w:rsidR="001A7902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K_W06, K_W12, K_U01, KU_03, K_U05, K_U06, K_U07, K_U08, K_U09, K_U10, K_U11,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17C1E26C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K_U13, K_U16</w:t>
            </w:r>
          </w:p>
        </w:tc>
      </w:tr>
      <w:tr w:rsidR="001A7902" w:rsidRPr="008B017C" w14:paraId="599B4E5B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0B88A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lastRenderedPageBreak/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5242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umiejętność wykorzystania zdobytej wiedzy teoretycznej oraz doboru właściwej metody dla rozwiązywania określonego problemu prawnego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9CCC" w14:textId="77777777" w:rsidR="001A7902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K_W12, K_U09</w:t>
            </w:r>
          </w:p>
          <w:p w14:paraId="61000A62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K_U10, K_U11, K_U12, K_U16</w:t>
            </w:r>
          </w:p>
        </w:tc>
      </w:tr>
      <w:tr w:rsidR="001A7902" w14:paraId="05E546E8" w14:textId="77777777" w:rsidTr="001C3E68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E375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D6A6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samodzielnie planować i realizować własne uczenie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25B4B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  <w:r>
              <w:rPr>
                <w:rFonts w:ascii="Corbel" w:hAnsi="Corbel"/>
                <w:b w:val="0"/>
              </w:rPr>
              <w:t xml:space="preserve"> K_W09, K_W10,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K_U17, </w:t>
            </w:r>
            <w:r w:rsidRPr="003A2582">
              <w:rPr>
                <w:rFonts w:ascii="Corbel" w:hAnsi="Corbel"/>
                <w:b w:val="0"/>
                <w:bCs/>
                <w:szCs w:val="24"/>
              </w:rPr>
              <w:t>K_K01</w:t>
            </w:r>
            <w:r>
              <w:rPr>
                <w:rFonts w:ascii="Corbel" w:hAnsi="Corbel"/>
                <w:b w:val="0"/>
                <w:bCs/>
                <w:szCs w:val="24"/>
              </w:rPr>
              <w:t>, K_K07</w:t>
            </w:r>
          </w:p>
        </w:tc>
      </w:tr>
      <w:tr w:rsidR="001A7902" w14:paraId="5AF80C7B" w14:textId="77777777" w:rsidTr="001C3E68">
        <w:trPr>
          <w:trHeight w:val="143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DDF318" w14:textId="77777777" w:rsidR="001A7902" w:rsidRPr="006A72B3" w:rsidRDefault="001A7902" w:rsidP="001C3E68">
            <w:pPr>
              <w:pStyle w:val="Punktygwne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A72B3">
              <w:rPr>
                <w:rFonts w:ascii="Corbel" w:hAnsi="Corbel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C3BE21" w14:textId="77777777" w:rsidR="001A7902" w:rsidRPr="006A72B3" w:rsidRDefault="001A7902" w:rsidP="001C3E6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prawnika, zmienności systemu norm prawnych, która prowadzi do konieczności ciągłego uzupełniania i doskonalenia zdobytej wiedzy i umiejętności, jest otwarty na zdobywanie nowych doświadczeń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61CCBB" w14:textId="77777777" w:rsidR="001A7902" w:rsidRPr="003A2582" w:rsidRDefault="001A7902" w:rsidP="001C3E6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K_W04, </w:t>
            </w:r>
            <w:r>
              <w:rPr>
                <w:rFonts w:ascii="Corbel" w:hAnsi="Corbel"/>
                <w:b w:val="0"/>
              </w:rPr>
              <w:t xml:space="preserve">K_W09, K_W10, </w:t>
            </w:r>
            <w:r w:rsidRPr="00D119E7">
              <w:rPr>
                <w:rFonts w:ascii="Corbel" w:hAnsi="Corbel"/>
                <w:b w:val="0"/>
                <w:szCs w:val="24"/>
              </w:rPr>
              <w:t>K_K04</w:t>
            </w:r>
            <w:r>
              <w:rPr>
                <w:rFonts w:ascii="Corbel" w:hAnsi="Corbel"/>
                <w:b w:val="0"/>
                <w:szCs w:val="24"/>
              </w:rPr>
              <w:t xml:space="preserve">, K_K05,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  <w:r w:rsidRPr="006A72B3">
              <w:rPr>
                <w:rFonts w:ascii="Corbel" w:hAnsi="Corbel"/>
                <w:b w:val="0"/>
                <w:smallCaps w:val="0"/>
                <w:szCs w:val="24"/>
              </w:rPr>
              <w:t>K_K06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K_K10</w:t>
            </w:r>
          </w:p>
        </w:tc>
      </w:tr>
    </w:tbl>
    <w:p w14:paraId="7903AFE9" w14:textId="77777777" w:rsidR="001D7B54" w:rsidRPr="00DB262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D8066B2" w14:textId="77777777" w:rsidR="0085747A" w:rsidRPr="00DB262B" w:rsidRDefault="00675843" w:rsidP="0020055A">
      <w:p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>3.3</w:t>
      </w:r>
      <w:r w:rsidR="001D7B54" w:rsidRPr="00DB262B">
        <w:rPr>
          <w:rFonts w:ascii="Corbel" w:hAnsi="Corbel"/>
          <w:b/>
          <w:sz w:val="24"/>
          <w:szCs w:val="24"/>
        </w:rPr>
        <w:t xml:space="preserve"> </w:t>
      </w:r>
      <w:r w:rsidR="0085747A" w:rsidRPr="00DB262B">
        <w:rPr>
          <w:rFonts w:ascii="Corbel" w:hAnsi="Corbel"/>
          <w:b/>
          <w:sz w:val="24"/>
          <w:szCs w:val="24"/>
        </w:rPr>
        <w:t>T</w:t>
      </w:r>
      <w:r w:rsidR="001D7B54" w:rsidRPr="00DB262B">
        <w:rPr>
          <w:rFonts w:ascii="Corbel" w:hAnsi="Corbel"/>
          <w:b/>
          <w:sz w:val="24"/>
          <w:szCs w:val="24"/>
        </w:rPr>
        <w:t>reści programowe</w:t>
      </w:r>
    </w:p>
    <w:p w14:paraId="61F0879D" w14:textId="77777777" w:rsidR="0085747A" w:rsidRPr="00DB262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DB262B">
        <w:rPr>
          <w:rFonts w:ascii="Corbel" w:hAnsi="Corbel"/>
          <w:sz w:val="24"/>
          <w:szCs w:val="24"/>
        </w:rPr>
        <w:t xml:space="preserve">Problematyka wykładu </w:t>
      </w:r>
    </w:p>
    <w:p w14:paraId="638F80C7" w14:textId="77777777" w:rsidR="00675843" w:rsidRPr="00DB262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2"/>
      </w:tblGrid>
      <w:tr w:rsidR="0085747A" w:rsidRPr="00DB262B" w14:paraId="6EF2073E" w14:textId="77777777" w:rsidTr="003D020C">
        <w:trPr>
          <w:trHeight w:val="85"/>
        </w:trPr>
        <w:tc>
          <w:tcPr>
            <w:tcW w:w="8502" w:type="dxa"/>
          </w:tcPr>
          <w:p w14:paraId="134C3DF8" w14:textId="77777777" w:rsidR="0085747A" w:rsidRPr="00DB262B" w:rsidRDefault="0085747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Treści merytoryczne</w:t>
            </w:r>
          </w:p>
        </w:tc>
      </w:tr>
      <w:tr w:rsidR="0085747A" w:rsidRPr="00DB262B" w14:paraId="421D3899" w14:textId="77777777" w:rsidTr="003D020C">
        <w:trPr>
          <w:trHeight w:val="85"/>
        </w:trPr>
        <w:tc>
          <w:tcPr>
            <w:tcW w:w="8502" w:type="dxa"/>
          </w:tcPr>
          <w:p w14:paraId="560CBF8C" w14:textId="77777777" w:rsidR="0085747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1.Poj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cie i </w:t>
            </w:r>
            <w:r w:rsidRPr="00DB262B">
              <w:rPr>
                <w:rFonts w:ascii="Corbel" w:hAnsi="Corbel"/>
                <w:sz w:val="18"/>
                <w:szCs w:val="18"/>
              </w:rPr>
              <w:t>ź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ródła publicznego prawa gospodarczego                        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</w:tc>
      </w:tr>
      <w:tr w:rsidR="0085747A" w:rsidRPr="00DB262B" w14:paraId="685FEC9A" w14:textId="77777777" w:rsidTr="003D020C">
        <w:trPr>
          <w:trHeight w:val="85"/>
        </w:trPr>
        <w:tc>
          <w:tcPr>
            <w:tcW w:w="8502" w:type="dxa"/>
          </w:tcPr>
          <w:p w14:paraId="76111E25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2.Podstawy doktrynalne oddziaływania pa</w:t>
            </w:r>
            <w:r w:rsidRPr="00DB262B">
              <w:rPr>
                <w:rFonts w:ascii="Corbel" w:hAnsi="Corbel"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stwa na gospodark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ę                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</w:p>
          <w:p w14:paraId="09BE661C" w14:textId="77777777" w:rsidR="0085747A" w:rsidRPr="00DB262B" w:rsidRDefault="00624DAA" w:rsidP="00624DAA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Typy zachowania państwa wobec gospodarki (np. merkantylizm, protekcjonizm, koncepcje liberalne i neoliberalne, rodzaje neoliberalizmu, koncepcje interwencjonistyczne, społeczna gospodarka rynkowa, socjalistyczna gospodarka planowa</w:t>
            </w:r>
          </w:p>
        </w:tc>
      </w:tr>
      <w:tr w:rsidR="0085747A" w:rsidRPr="00DB262B" w14:paraId="2065DC7B" w14:textId="77777777" w:rsidTr="003D020C">
        <w:trPr>
          <w:trHeight w:val="707"/>
        </w:trPr>
        <w:tc>
          <w:tcPr>
            <w:tcW w:w="8502" w:type="dxa"/>
          </w:tcPr>
          <w:p w14:paraId="4304C522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3.Administracja gospodarcza   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1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  <w:t>H</w:t>
            </w:r>
          </w:p>
          <w:p w14:paraId="290B867D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3.1.Rządowa administracja gospodarcza</w:t>
            </w:r>
          </w:p>
          <w:p w14:paraId="3A333AC8" w14:textId="77777777" w:rsidR="0020055A" w:rsidRPr="00DB262B" w:rsidRDefault="0020055A" w:rsidP="003D020C">
            <w:pPr>
              <w:pStyle w:val="Bezodstpw"/>
              <w:jc w:val="both"/>
              <w:rPr>
                <w:rFonts w:ascii="Corbel" w:hAnsi="Corbel"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>3.2.Terenowa administracja gospodarcza</w:t>
            </w:r>
          </w:p>
          <w:p w14:paraId="5A62EE89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Cs/>
                <w:sz w:val="18"/>
                <w:szCs w:val="18"/>
                <w:lang w:eastAsia="pl-PL"/>
              </w:rPr>
              <w:t xml:space="preserve">3.3Samorządowe organy administracji gospodarczej                                                  </w:t>
            </w:r>
          </w:p>
        </w:tc>
      </w:tr>
      <w:tr w:rsidR="0020055A" w:rsidRPr="00DB262B" w14:paraId="55A1DC34" w14:textId="77777777" w:rsidTr="003D020C">
        <w:trPr>
          <w:trHeight w:val="387"/>
        </w:trPr>
        <w:tc>
          <w:tcPr>
            <w:tcW w:w="8502" w:type="dxa"/>
          </w:tcPr>
          <w:p w14:paraId="7EC824EF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 xml:space="preserve"> W4</w:t>
            </w:r>
            <w:r w:rsidRPr="00DB262B">
              <w:rPr>
                <w:rFonts w:ascii="Corbel" w:hAnsi="Corbel"/>
                <w:sz w:val="18"/>
                <w:szCs w:val="18"/>
              </w:rPr>
              <w:t>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Zasady podejmowania i prowadzenia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FD1855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6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5F3DE540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1</w:t>
            </w:r>
            <w:r w:rsidRPr="00DB262B">
              <w:rPr>
                <w:rFonts w:ascii="Corbel" w:hAnsi="Corbel"/>
                <w:sz w:val="18"/>
                <w:szCs w:val="18"/>
              </w:rPr>
              <w:t>. Zasada wolności gospodarczej</w:t>
            </w:r>
          </w:p>
          <w:p w14:paraId="6490AEFA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2</w:t>
            </w:r>
            <w:r w:rsidRPr="00DB262B">
              <w:rPr>
                <w:rFonts w:ascii="Corbel" w:hAnsi="Corbel"/>
                <w:sz w:val="18"/>
                <w:szCs w:val="18"/>
              </w:rPr>
              <w:t>. Zasada równości przedsiębiorców</w:t>
            </w:r>
          </w:p>
          <w:p w14:paraId="1D9587C9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3</w:t>
            </w:r>
            <w:r w:rsidRPr="00DB262B">
              <w:rPr>
                <w:rFonts w:ascii="Corbel" w:hAnsi="Corbel"/>
                <w:sz w:val="18"/>
                <w:szCs w:val="18"/>
              </w:rPr>
              <w:t>. Zasada uczciwej konkurencji</w:t>
            </w:r>
          </w:p>
          <w:p w14:paraId="0C86F121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4</w:t>
            </w:r>
            <w:r w:rsidRPr="00DB262B">
              <w:rPr>
                <w:rFonts w:ascii="Corbel" w:hAnsi="Corbel"/>
                <w:sz w:val="18"/>
                <w:szCs w:val="18"/>
              </w:rPr>
              <w:t>. Poszanowania dobrych obyczajów</w:t>
            </w:r>
          </w:p>
          <w:p w14:paraId="2FDD40ED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5</w:t>
            </w:r>
            <w:r w:rsidRPr="00DB262B">
              <w:rPr>
                <w:rFonts w:ascii="Corbel" w:hAnsi="Corbel"/>
                <w:sz w:val="18"/>
                <w:szCs w:val="18"/>
              </w:rPr>
              <w:t>. Zasada poszanowania słusznych interesów konsumentów i przedsiębiorców</w:t>
            </w:r>
          </w:p>
          <w:p w14:paraId="561097F1" w14:textId="77777777" w:rsidR="0020055A" w:rsidRPr="00DB262B" w:rsidRDefault="0020055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>6</w:t>
            </w:r>
            <w:r w:rsidRPr="00DB262B">
              <w:rPr>
                <w:rFonts w:ascii="Corbel" w:hAnsi="Corbel"/>
                <w:sz w:val="18"/>
                <w:szCs w:val="18"/>
              </w:rPr>
              <w:t>.Pozostałe zasady</w:t>
            </w:r>
          </w:p>
        </w:tc>
      </w:tr>
      <w:tr w:rsidR="0020055A" w:rsidRPr="00DB262B" w14:paraId="29885B53" w14:textId="77777777" w:rsidTr="003D020C">
        <w:trPr>
          <w:trHeight w:val="841"/>
        </w:trPr>
        <w:tc>
          <w:tcPr>
            <w:tcW w:w="8502" w:type="dxa"/>
            <w:tcBorders>
              <w:bottom w:val="single" w:sz="4" w:space="0" w:color="auto"/>
            </w:tcBorders>
          </w:tcPr>
          <w:p w14:paraId="3D89A70F" w14:textId="77777777" w:rsidR="00624DAA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Poj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cie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 i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działalności gospodarczej</w:t>
            </w:r>
            <w:r w:rsidRPr="00DB262B">
              <w:rPr>
                <w:rFonts w:ascii="Corbel" w:hAnsi="Corbel"/>
                <w:sz w:val="18"/>
                <w:szCs w:val="18"/>
              </w:rPr>
              <w:t>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Poszczególni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biorcy</w:t>
            </w:r>
          </w:p>
          <w:p w14:paraId="64DAC110" w14:textId="77777777" w:rsidR="005E4B62" w:rsidRPr="00DB262B" w:rsidRDefault="00624DAA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372D821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5.1. Pojęcie i rodzaje przedsiębiorców</w:t>
            </w:r>
          </w:p>
          <w:p w14:paraId="67E583A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 Przedsiębiorcy publiczni</w:t>
            </w:r>
          </w:p>
          <w:p w14:paraId="6AF96853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5.2.1. Przedsiębiorstwa państwowe</w:t>
            </w:r>
          </w:p>
          <w:p w14:paraId="7D24283E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5.2.2. Komercjalizacja i prywatyzacja przedsiębiorstw państwowych</w:t>
            </w:r>
          </w:p>
          <w:p w14:paraId="6F28C888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5.2.4. Gospodarka komunalna</w:t>
            </w:r>
          </w:p>
          <w:p w14:paraId="0AA20CE9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i zakres działalności komunalnej</w:t>
            </w:r>
          </w:p>
          <w:p w14:paraId="05D5F1BB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5.2.5. Formy działalności komunalnej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(komunalne zakłady budżetowe, spółki</w:t>
            </w:r>
          </w:p>
          <w:p w14:paraId="7BA7576A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komunalne)</w:t>
            </w:r>
          </w:p>
          <w:p w14:paraId="5DD17E75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5.2.6. Agencje państwowe</w:t>
            </w:r>
          </w:p>
          <w:p w14:paraId="48ED3F92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5.2.7. Fundacje</w:t>
            </w:r>
          </w:p>
          <w:p w14:paraId="50ACA18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5.2.8. Stowarzyszenia</w:t>
            </w:r>
          </w:p>
          <w:p w14:paraId="09BE6C14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5.2.9. Instytuty badawcze</w:t>
            </w:r>
          </w:p>
          <w:p w14:paraId="6944E42D" w14:textId="77777777" w:rsidR="005E4B62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 Osoba fizyczna jako przedsiębiorca</w:t>
            </w:r>
          </w:p>
          <w:p w14:paraId="12F272EF" w14:textId="77777777" w:rsidR="00FD1855" w:rsidRPr="00DB262B" w:rsidRDefault="005E4B62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5.3.1. Formy prowadzenia działalności gospodarczej przez osobę fizyczną</w:t>
            </w:r>
          </w:p>
          <w:p w14:paraId="7A2FF377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 Działalność gospodarcza w ustawie – Prawo przedsiębiorców.</w:t>
            </w:r>
          </w:p>
          <w:p w14:paraId="1C9C28B9" w14:textId="77777777" w:rsidR="00624DA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5.4.1.Zarobkowość</w:t>
            </w:r>
          </w:p>
          <w:p w14:paraId="2DD30ADD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5.4.2.Zorganizowanie</w:t>
            </w:r>
          </w:p>
          <w:p w14:paraId="145488F8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5.4.3.Ciągłość </w:t>
            </w:r>
          </w:p>
          <w:p w14:paraId="0A174CEB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5.4.4.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Działalność we własnym imieniu </w:t>
            </w:r>
          </w:p>
          <w:p w14:paraId="3AEE770A" w14:textId="77777777" w:rsidR="00FD1855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5.4.5Działalność zawodowa</w:t>
            </w:r>
          </w:p>
          <w:p w14:paraId="69597FCA" w14:textId="77777777" w:rsidR="0020055A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5.4.6.Działalność nieewidencjonowana</w:t>
            </w:r>
          </w:p>
        </w:tc>
      </w:tr>
      <w:tr w:rsidR="00FD1855" w:rsidRPr="00DB262B" w14:paraId="695A3ADC" w14:textId="77777777" w:rsidTr="003D020C">
        <w:trPr>
          <w:trHeight w:val="3510"/>
        </w:trPr>
        <w:tc>
          <w:tcPr>
            <w:tcW w:w="8502" w:type="dxa"/>
            <w:tcBorders>
              <w:bottom w:val="single" w:sz="4" w:space="0" w:color="auto"/>
            </w:tcBorders>
          </w:tcPr>
          <w:p w14:paraId="6F244B0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lastRenderedPageBreak/>
              <w:t xml:space="preserve">6.Rejestracja przedsiębiorców </w:t>
            </w:r>
            <w:r w:rsidR="00624DAA" w:rsidRPr="00DB262B">
              <w:rPr>
                <w:rFonts w:ascii="Corbel" w:hAnsi="Corbel"/>
                <w:b/>
                <w:sz w:val="18"/>
                <w:szCs w:val="18"/>
              </w:rPr>
              <w:t>4</w:t>
            </w:r>
            <w:r w:rsidR="00DB262B">
              <w:rPr>
                <w:rFonts w:ascii="Corbel" w:hAnsi="Corbel"/>
                <w:b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sz w:val="18"/>
                <w:szCs w:val="18"/>
              </w:rPr>
              <w:t>H</w:t>
            </w:r>
          </w:p>
          <w:p w14:paraId="5E603200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6.1.Podstawowe informacje</w:t>
            </w:r>
          </w:p>
          <w:p w14:paraId="2B6B02A4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 Krajowy Rejestr Sądowy </w:t>
            </w:r>
          </w:p>
          <w:p w14:paraId="435122D9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6.2.1. Geneza i funkcje Krajowego Rejestru Sądowego </w:t>
            </w:r>
          </w:p>
          <w:p w14:paraId="1AB2AD6F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6.2.2. Wpis do Krajowego Rejestru Sądowego</w:t>
            </w:r>
          </w:p>
          <w:p w14:paraId="53B4438E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6.2.3. Zasada jawności Krajowego Rejestru Sądowego </w:t>
            </w:r>
          </w:p>
          <w:p w14:paraId="45907C52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6.2.4. Podmioty podlegające rejestracji w Krajowym Rejestrze Sądowym </w:t>
            </w:r>
          </w:p>
          <w:p w14:paraId="52FE388B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 Centralna Ewidencja i Informacja o Działalności Gospodarczej</w:t>
            </w:r>
          </w:p>
          <w:p w14:paraId="7DCC15C4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6.3.1. Organizacja i zadania Centralnej Ewidencji i Informacji o Działalności Gospodarczej</w:t>
            </w:r>
          </w:p>
          <w:p w14:paraId="196C0847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6.3.2. Wpis do Centralnej Ewidencji i Informacji o Działalności Gospodarczej</w:t>
            </w:r>
          </w:p>
          <w:p w14:paraId="608639DF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6.3.3. Funkcje Centralnej Ewidencji i Informacji o Działalności Gospodarczej</w:t>
            </w:r>
          </w:p>
          <w:p w14:paraId="1867150D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6.4. Punkty kontaktowe </w:t>
            </w:r>
          </w:p>
          <w:p w14:paraId="459F62EC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6.5.Obowiązki przedsiębiorcy związane z podejmowaniem i prowadzeniem działalności gospodarczej</w:t>
            </w:r>
          </w:p>
          <w:p w14:paraId="0EA2D15A" w14:textId="77777777" w:rsidR="003D020C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6.6. Prawa przedsiębiorcy związane z podejmowaniem i prowadzeniem działalności</w:t>
            </w:r>
          </w:p>
          <w:p w14:paraId="17462677" w14:textId="77777777" w:rsidR="00FD1855" w:rsidRPr="00DB262B" w:rsidRDefault="003D020C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g</w:t>
            </w:r>
            <w:r w:rsidR="00FD1855" w:rsidRPr="00DB262B">
              <w:rPr>
                <w:rFonts w:ascii="Corbel" w:hAnsi="Corbel"/>
                <w:sz w:val="18"/>
                <w:szCs w:val="18"/>
              </w:rPr>
              <w:t>ospodarcze</w:t>
            </w:r>
            <w:r w:rsidR="0079757E" w:rsidRPr="00DB262B">
              <w:rPr>
                <w:rFonts w:ascii="Corbel" w:hAnsi="Corbel"/>
                <w:sz w:val="18"/>
                <w:szCs w:val="18"/>
              </w:rPr>
              <w:t>j</w:t>
            </w:r>
          </w:p>
          <w:p w14:paraId="793E629E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6.7.Punkt Informacji dla Przedsiębiorcy</w:t>
            </w:r>
          </w:p>
        </w:tc>
      </w:tr>
      <w:tr w:rsidR="007B5CB5" w:rsidRPr="00DB262B" w14:paraId="0424CF92" w14:textId="77777777" w:rsidTr="003D020C">
        <w:trPr>
          <w:trHeight w:val="1283"/>
        </w:trPr>
        <w:tc>
          <w:tcPr>
            <w:tcW w:w="8502" w:type="dxa"/>
          </w:tcPr>
          <w:p w14:paraId="459106AD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sz w:val="18"/>
                <w:szCs w:val="18"/>
              </w:rPr>
              <w:t>7-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Reglamentacja działalno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ci gospodarczej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3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67BA053E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 1. Istota i funkcje reglamentacji działalności gospodarczej</w:t>
            </w:r>
          </w:p>
          <w:p w14:paraId="66681907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7.2. Koncesje na działalność gospodarczą</w:t>
            </w:r>
          </w:p>
          <w:p w14:paraId="429504E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 xml:space="preserve">7.3. Zezwolenia na działalność gospodarczą </w:t>
            </w:r>
          </w:p>
          <w:p w14:paraId="69E9BFD9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7.4. Regulowana działalność gospodarcza</w:t>
            </w:r>
          </w:p>
          <w:p w14:paraId="4771CEEF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7.5. Procedury: udzielania koncesji, zezwoleń, wpisu do rejestru działalności</w:t>
            </w:r>
          </w:p>
          <w:p w14:paraId="741C7E43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regulowanej</w:t>
            </w:r>
          </w:p>
        </w:tc>
      </w:tr>
      <w:tr w:rsidR="007B5CB5" w:rsidRPr="00DB262B" w14:paraId="58188384" w14:textId="77777777" w:rsidTr="003D020C">
        <w:trPr>
          <w:trHeight w:val="1116"/>
        </w:trPr>
        <w:tc>
          <w:tcPr>
            <w:tcW w:w="8502" w:type="dxa"/>
          </w:tcPr>
          <w:p w14:paraId="133BD801" w14:textId="77777777" w:rsidR="007B5CB5" w:rsidRPr="00DB262B" w:rsidRDefault="007B5CB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8.Podmioty zagraniczne jako przedsi</w:t>
            </w:r>
            <w:r w:rsidRPr="00DB262B">
              <w:rPr>
                <w:rFonts w:ascii="Corbel" w:hAnsi="Corbel"/>
                <w:sz w:val="18"/>
                <w:szCs w:val="18"/>
              </w:rPr>
              <w:t>ę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biorcy w </w:t>
            </w:r>
            <w:r w:rsidRPr="00DB262B">
              <w:rPr>
                <w:rFonts w:ascii="Corbel" w:hAnsi="Corbel"/>
                <w:sz w:val="18"/>
                <w:szCs w:val="18"/>
              </w:rPr>
              <w:t>ś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wietle ustawy –Prawo przedsiębiorców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1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79DA482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8.1. Osoby zagraniczne</w:t>
            </w:r>
          </w:p>
          <w:p w14:paraId="460FA776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8.2. Przedsiębiorcy zagraniczni</w:t>
            </w:r>
          </w:p>
          <w:p w14:paraId="61982DDC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8.3. Oddziały przedsiębiorców zagranicznych</w:t>
            </w:r>
          </w:p>
          <w:p w14:paraId="26244284" w14:textId="77777777" w:rsidR="007B5CB5" w:rsidRPr="00DB262B" w:rsidRDefault="007B5CB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8.4. Przedstawicielstwa przedsiębiorców zagranicznych</w:t>
            </w:r>
          </w:p>
        </w:tc>
      </w:tr>
      <w:tr w:rsidR="00E045D0" w:rsidRPr="00DB262B" w14:paraId="4AF8E0D6" w14:textId="77777777" w:rsidTr="003D020C">
        <w:trPr>
          <w:trHeight w:val="2292"/>
        </w:trPr>
        <w:tc>
          <w:tcPr>
            <w:tcW w:w="8502" w:type="dxa"/>
          </w:tcPr>
          <w:p w14:paraId="3F7A3652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9.Prawo zamówie</w:t>
            </w:r>
            <w:r w:rsidRPr="00DB262B">
              <w:rPr>
                <w:rFonts w:ascii="Corbel" w:hAnsi="Corbel"/>
                <w:b/>
                <w:sz w:val="18"/>
                <w:szCs w:val="18"/>
              </w:rPr>
              <w:t>ń</w:t>
            </w:r>
            <w:r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publicznych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 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4E82B9A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9.1. Pojęcie zamówienia publicznego, zakres podmiotowy i przedmiotowy</w:t>
            </w:r>
          </w:p>
          <w:p w14:paraId="081A5CD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stosowania ustawy</w:t>
            </w:r>
          </w:p>
          <w:p w14:paraId="766998DF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9.2. Zasady udzielania zamówień publicznych</w:t>
            </w:r>
          </w:p>
          <w:p w14:paraId="4C1A964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9.3. Tryby udzielania zamówień publicznych</w:t>
            </w:r>
          </w:p>
          <w:p w14:paraId="3302FD2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9.4. Oferta przetargowa i przesłanki jej odrzucenia</w:t>
            </w:r>
          </w:p>
          <w:p w14:paraId="14B77EB8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9.5. Wybór najkorzystniejszej oferty</w:t>
            </w:r>
          </w:p>
          <w:p w14:paraId="5E850460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9.6. Unieważnienie postępowania</w:t>
            </w:r>
          </w:p>
          <w:p w14:paraId="3005C52C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9.7. Umowy w sprawach zamówień publicznych</w:t>
            </w:r>
          </w:p>
          <w:p w14:paraId="6869EAD8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9.8.Kontrola udzielania zamówień</w:t>
            </w:r>
          </w:p>
          <w:p w14:paraId="426353B5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9.9.Środki ochrony prawnej</w:t>
            </w:r>
          </w:p>
          <w:p w14:paraId="778F2E8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9.10.Odpowiedzialność za naruszenie przepisów ustawy</w:t>
            </w:r>
          </w:p>
        </w:tc>
      </w:tr>
      <w:tr w:rsidR="00E045D0" w:rsidRPr="00DB262B" w14:paraId="1DF088EF" w14:textId="77777777" w:rsidTr="003D020C">
        <w:trPr>
          <w:trHeight w:val="2483"/>
        </w:trPr>
        <w:tc>
          <w:tcPr>
            <w:tcW w:w="8502" w:type="dxa"/>
          </w:tcPr>
          <w:p w14:paraId="48D64BE1" w14:textId="77777777" w:rsidR="00E045D0" w:rsidRPr="00DB262B" w:rsidRDefault="00E045D0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10.Ochrona prawna konkurencji i konsumentów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624DAA" w:rsidRPr="00DB262B">
              <w:rPr>
                <w:rFonts w:ascii="Corbel" w:hAnsi="Corbel"/>
                <w:b/>
                <w:bCs/>
                <w:sz w:val="18"/>
                <w:szCs w:val="18"/>
              </w:rPr>
              <w:t>5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6029E448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10.1. Organizacja ochrony konkurencji i konsumentów</w:t>
            </w:r>
          </w:p>
          <w:p w14:paraId="42278D6D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Prezes Ochrony Konkurencji i Konsumentów</w:t>
            </w:r>
          </w:p>
          <w:p w14:paraId="02695E5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powiatowy rzecznik konsumentów</w:t>
            </w:r>
          </w:p>
          <w:p w14:paraId="1F5453D2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-organizacje konsumenckie i polubowne sądy konsumenckie</w:t>
            </w:r>
          </w:p>
          <w:p w14:paraId="01206594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Inspekcja Handlowa</w:t>
            </w:r>
          </w:p>
          <w:p w14:paraId="52E5916B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10.2. Ochrona konkurencji i interesów przedsiębiorców</w:t>
            </w:r>
          </w:p>
          <w:p w14:paraId="4C08879E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prewencyjna ochrona konkurencji(nadzór nad koncentracją przedsiębiorców)</w:t>
            </w:r>
          </w:p>
          <w:p w14:paraId="7E47A43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zwalczanie praktyk ograniczających konkurencję</w:t>
            </w:r>
          </w:p>
          <w:p w14:paraId="1D73E0CC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10.3. Przeciwdziałanie praktykom naruszającym zbiorowe interesy konsumentów</w:t>
            </w:r>
          </w:p>
          <w:p w14:paraId="0183ADAE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10.4. Zwalczanie nieuczciwej konkurencji</w:t>
            </w:r>
          </w:p>
          <w:p w14:paraId="33AAAF33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pojęcie czynu nieuczciwej konkurencji i rodzaje czynów nieuczciwej konkurencji, sankcje</w:t>
            </w:r>
          </w:p>
          <w:p w14:paraId="360FF9D7" w14:textId="77777777" w:rsidR="00E045D0" w:rsidRPr="00DB262B" w:rsidRDefault="00E045D0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- postępowanie w sprawach czynów nieuczciwej konkurencji</w:t>
            </w:r>
          </w:p>
        </w:tc>
      </w:tr>
      <w:tr w:rsidR="00FD1855" w:rsidRPr="00DB262B" w14:paraId="0AE4F3A5" w14:textId="77777777" w:rsidTr="006E6400">
        <w:trPr>
          <w:trHeight w:val="1402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2FC1F01F" w14:textId="77777777" w:rsidR="00FD1855" w:rsidRPr="00DB262B" w:rsidRDefault="00FD1855" w:rsidP="003D020C">
            <w:pPr>
              <w:spacing w:after="0" w:line="240" w:lineRule="auto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</w:t>
            </w:r>
            <w:r w:rsidRPr="00DB262B">
              <w:rPr>
                <w:rFonts w:ascii="Corbel" w:hAnsi="Corbel" w:cs="Times-Bold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Pr="00DB262B">
              <w:rPr>
                <w:rFonts w:ascii="Corbel" w:hAnsi="Corbel"/>
                <w:b/>
                <w:bCs/>
                <w:sz w:val="18"/>
                <w:szCs w:val="18"/>
              </w:rPr>
              <w:t>Specjalne strefy ekonomiczne i obszary specjalne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2</w:t>
            </w:r>
            <w:r w:rsidR="00DB262B">
              <w:rPr>
                <w:rFonts w:ascii="Corbel" w:hAnsi="Corbel"/>
                <w:b/>
                <w:bCs/>
                <w:sz w:val="18"/>
                <w:szCs w:val="18"/>
              </w:rPr>
              <w:t xml:space="preserve"> </w:t>
            </w:r>
            <w:r w:rsidR="0079757E" w:rsidRPr="00DB262B">
              <w:rPr>
                <w:rFonts w:ascii="Corbel" w:hAnsi="Corbel"/>
                <w:b/>
                <w:bCs/>
                <w:sz w:val="18"/>
                <w:szCs w:val="18"/>
              </w:rPr>
              <w:t>H</w:t>
            </w:r>
          </w:p>
          <w:p w14:paraId="3E25B10D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11.1.Pojęcie i rodzaje obszarów specjalnych</w:t>
            </w:r>
          </w:p>
          <w:p w14:paraId="470606C1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11.2. Wolne obszary celne i składy wolnocłowe</w:t>
            </w:r>
          </w:p>
          <w:p w14:paraId="4D3DFB72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11.3. Specjalne strefy ekonomiczne</w:t>
            </w:r>
          </w:p>
          <w:p w14:paraId="5DE41C61" w14:textId="77777777" w:rsidR="00FD1855" w:rsidRPr="00DB262B" w:rsidRDefault="00FD1855" w:rsidP="003D020C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11.4. Parki naukowo –technologiczne i inkubatory przedsiębiorczości</w:t>
            </w:r>
          </w:p>
          <w:p w14:paraId="13219885" w14:textId="77777777" w:rsidR="00624DAA" w:rsidRPr="00DB262B" w:rsidRDefault="00FD1855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/>
                <w:sz w:val="18"/>
                <w:szCs w:val="18"/>
              </w:rPr>
              <w:t>11.5</w:t>
            </w:r>
            <w:r w:rsidR="003D020C" w:rsidRPr="00DB262B">
              <w:rPr>
                <w:rFonts w:ascii="Corbel" w:hAnsi="Corbel"/>
                <w:sz w:val="18"/>
                <w:szCs w:val="18"/>
              </w:rPr>
              <w:t xml:space="preserve"> </w:t>
            </w:r>
            <w:r w:rsidRPr="00DB262B">
              <w:rPr>
                <w:rFonts w:ascii="Corbel" w:hAnsi="Corbel"/>
                <w:sz w:val="18"/>
                <w:szCs w:val="18"/>
              </w:rPr>
              <w:t>Inne instrumenty wsparcia przedsiębiorców w podejmowaniu nowych inwestycji na terytorium RP</w:t>
            </w:r>
          </w:p>
        </w:tc>
      </w:tr>
      <w:tr w:rsidR="00624DAA" w:rsidRPr="00DB262B" w14:paraId="27F4D4A9" w14:textId="77777777" w:rsidTr="00624DAA">
        <w:trPr>
          <w:trHeight w:val="960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0C63C5CE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Publicznoprawne elementy prawa rejestrowego. Przegląd ważniejszych rejestrów informacyjnych 2</w:t>
            </w:r>
            <w:r w:rsid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H</w:t>
            </w:r>
          </w:p>
          <w:p w14:paraId="6AA82089" w14:textId="77777777" w:rsidR="00624DAA" w:rsidRPr="00DB262B" w:rsidRDefault="00624DAA" w:rsidP="00624DAA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12.1 Centralny Rejestr Beneficjentów Rzeczywistych</w:t>
            </w:r>
          </w:p>
          <w:p w14:paraId="4EF52A85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12.2 Biura Informacji Gospodarczej</w:t>
            </w:r>
          </w:p>
          <w:p w14:paraId="2E6D08BC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12.3 Biura Informacji Kredytowej</w:t>
            </w:r>
          </w:p>
        </w:tc>
      </w:tr>
      <w:tr w:rsidR="00624DAA" w:rsidRPr="00DB262B" w14:paraId="3DD93D2E" w14:textId="77777777" w:rsidTr="00624DAA">
        <w:trPr>
          <w:trHeight w:val="2267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768F325B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lastRenderedPageBreak/>
              <w:t>13 Publicznoprawne zagadnienia dotyczące</w:t>
            </w:r>
            <w:r w:rsidR="004D2C67"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 zagadnień sektorowych</w:t>
            </w:r>
            <w:r w:rsidRPr="00DB262B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 xml:space="preserve">: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  <w:lang w:eastAsia="pl-PL"/>
              </w:rPr>
              <w:t>H.</w:t>
            </w:r>
          </w:p>
          <w:p w14:paraId="6E8BBA87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13.1 Prawa papierów wartościowych, ze szczególnym uwzględnieniem problematyki:</w:t>
            </w:r>
          </w:p>
          <w:p w14:paraId="017FB56C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13.2 Spółek publicznych</w:t>
            </w:r>
          </w:p>
          <w:p w14:paraId="1B5FA4C3" w14:textId="77777777" w:rsidR="00624DAA" w:rsidRPr="00DB262B" w:rsidRDefault="00624DAA" w:rsidP="00624DA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  <w:lang w:eastAsia="pl-PL"/>
              </w:rPr>
              <w:t>13.3 Działalności giełd papierów wartościowych, wykorzystania w obrocie publicznym różnego rodzaju papierów wartościowych (np. weksli czeków, listów zastawnych).</w:t>
            </w:r>
          </w:p>
          <w:p w14:paraId="3F408CFB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13.4 Prawa własności intelektualnej i ochrony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 (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utworu, podmioty i przedmiot prawa autorskiego, pojęcie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własności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przemysłowej, Ochrona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wynalazków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użytkowe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, wzory przemysłowe, znaki towarowe, oznaczenia geograficzne, topografie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układów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scalonych)</w:t>
            </w:r>
          </w:p>
          <w:p w14:paraId="2A6D4ABF" w14:textId="77777777" w:rsidR="00624DAA" w:rsidRPr="00DB262B" w:rsidRDefault="00624DAA" w:rsidP="00624DAA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13.5 Przegląd problemów z zakresu prawa sektorowego: prawa farmaceutycznego, prawa energetycznego, prawa lotniczego)</w:t>
            </w:r>
          </w:p>
        </w:tc>
      </w:tr>
      <w:tr w:rsidR="00624DAA" w:rsidRPr="00DB262B" w14:paraId="06625CE0" w14:textId="77777777" w:rsidTr="00624DAA">
        <w:trPr>
          <w:trHeight w:val="2734"/>
        </w:trPr>
        <w:tc>
          <w:tcPr>
            <w:tcW w:w="8502" w:type="dxa"/>
            <w:tcBorders>
              <w:top w:val="single" w:sz="4" w:space="0" w:color="auto"/>
              <w:bottom w:val="single" w:sz="4" w:space="0" w:color="auto"/>
            </w:tcBorders>
          </w:tcPr>
          <w:p w14:paraId="520CE59A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14 Zwalczanie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 nieuczciwej konkurencji (zasady </w:t>
            </w:r>
            <w:proofErr w:type="spellStart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>ogólne</w:t>
            </w:r>
            <w:proofErr w:type="spellEnd"/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) 3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53D12142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Pojęcie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czynu nieuczciwej konkurencji </w:t>
            </w:r>
          </w:p>
          <w:p w14:paraId="18F5B26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14.2 Wprowadzenie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klientów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co do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tożsamości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przedsiębiorstwa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przez jego oznaczenie </w:t>
            </w:r>
          </w:p>
          <w:p w14:paraId="24CAC416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14.3 Oznaczanie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towarów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usług fałszywymi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oszukańczymi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oznaczeniami geograficznymi </w:t>
            </w:r>
          </w:p>
          <w:p w14:paraId="11D13438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14.4 Inne postacie nieuczciwego oznaczenia </w:t>
            </w:r>
          </w:p>
          <w:p w14:paraId="21CD12F9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14.5 Nakłanianie do niewykonania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nienależytego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wykonania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obowiązków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rozwiązania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umowy </w:t>
            </w:r>
          </w:p>
          <w:p w14:paraId="535DB100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14.6 Kopiowanie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zewnętrznej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postaci produktu </w:t>
            </w:r>
          </w:p>
          <w:p w14:paraId="4C5C1EF9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14.7 Rozpowszechnianie informacji nieprawdziwych lub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wprowadzających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błąd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</w:p>
          <w:p w14:paraId="051D055C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14.8 Utrudnianie innym przedsiębiorcom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dostępu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do rynku </w:t>
            </w:r>
          </w:p>
          <w:p w14:paraId="4563582A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14.9 Nieuczciwa reklama i reklama sprzeczna z prawem </w:t>
            </w:r>
          </w:p>
          <w:p w14:paraId="0F3A1083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14.10 Nowe czyny nieuczciwej konkurencji i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sprzedaz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̇ lawinowa, zakaz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systemów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konsorcyjnych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i inne </w:t>
            </w:r>
          </w:p>
          <w:p w14:paraId="41982F7B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sz w:val="18"/>
                <w:szCs w:val="18"/>
                <w:lang w:eastAsia="pl-PL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14.11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Postępowanie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w sprawach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czynów</w:t>
            </w:r>
            <w:proofErr w:type="spellEnd"/>
            <w:r w:rsidRPr="00DB262B">
              <w:rPr>
                <w:rFonts w:ascii="Corbel" w:hAnsi="Corbel" w:cs="Calibri"/>
                <w:sz w:val="18"/>
                <w:szCs w:val="18"/>
              </w:rPr>
              <w:t xml:space="preserve"> nieuczciwej konkurencji</w:t>
            </w:r>
          </w:p>
        </w:tc>
      </w:tr>
      <w:tr w:rsidR="00624DAA" w:rsidRPr="00DB262B" w14:paraId="2132F5AA" w14:textId="77777777" w:rsidTr="003D020C">
        <w:trPr>
          <w:trHeight w:val="333"/>
        </w:trPr>
        <w:tc>
          <w:tcPr>
            <w:tcW w:w="8502" w:type="dxa"/>
            <w:tcBorders>
              <w:top w:val="single" w:sz="4" w:space="0" w:color="auto"/>
            </w:tcBorders>
          </w:tcPr>
          <w:p w14:paraId="0691B307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b/>
                <w:bCs/>
                <w:sz w:val="18"/>
                <w:szCs w:val="18"/>
              </w:rPr>
              <w:t xml:space="preserve">15 Publiczne prawo konkurencji 2 </w:t>
            </w:r>
            <w:r w:rsidR="00C746B6">
              <w:rPr>
                <w:rFonts w:ascii="Corbel" w:hAnsi="Corbel" w:cs="Calibri"/>
                <w:b/>
                <w:bCs/>
                <w:sz w:val="18"/>
                <w:szCs w:val="18"/>
              </w:rPr>
              <w:t>H.</w:t>
            </w:r>
          </w:p>
          <w:p w14:paraId="1E8DC91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15.1 Ewolucyjny proces rozwoju publicznoprawnej ochrony konkurencji i jego podział </w:t>
            </w:r>
          </w:p>
          <w:p w14:paraId="406958DE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15.2 Cele ustawy o ochronie konkurencji i konsumentów i ważniejsze wyłączenia </w:t>
            </w:r>
          </w:p>
          <w:p w14:paraId="248315B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15.3 Organizacja ochrony konkurencji i konsumentów </w:t>
            </w:r>
          </w:p>
          <w:p w14:paraId="53E5CC60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15.4 Prewencyjna ochrona konkurencji </w:t>
            </w:r>
          </w:p>
          <w:p w14:paraId="31DE5B1D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15.5 Praktyki ograniczające konkurencję </w:t>
            </w:r>
          </w:p>
          <w:p w14:paraId="3A5A3204" w14:textId="77777777" w:rsidR="00624DAA" w:rsidRPr="00DB262B" w:rsidRDefault="00624DAA" w:rsidP="00624DAA">
            <w:pPr>
              <w:pStyle w:val="NormalnyWeb"/>
              <w:spacing w:before="0" w:beforeAutospacing="0" w:after="0" w:afterAutospacing="0"/>
              <w:jc w:val="both"/>
              <w:rPr>
                <w:rFonts w:ascii="Corbel" w:hAnsi="Corbel" w:cs="Calibri"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 xml:space="preserve">15.6 Zakaz praktyk naruszających zbiorowe interesy </w:t>
            </w:r>
            <w:proofErr w:type="spellStart"/>
            <w:r w:rsidRPr="00DB262B">
              <w:rPr>
                <w:rFonts w:ascii="Corbel" w:hAnsi="Corbel" w:cs="Calibri"/>
                <w:sz w:val="18"/>
                <w:szCs w:val="18"/>
              </w:rPr>
              <w:t>konsumentów</w:t>
            </w:r>
            <w:proofErr w:type="spellEnd"/>
          </w:p>
          <w:p w14:paraId="313D8C0F" w14:textId="77777777" w:rsidR="00624DAA" w:rsidRPr="00DB262B" w:rsidRDefault="00624DAA" w:rsidP="00624DAA">
            <w:pPr>
              <w:spacing w:after="0" w:line="240" w:lineRule="auto"/>
              <w:jc w:val="both"/>
              <w:rPr>
                <w:rFonts w:ascii="Corbel" w:hAnsi="Corbel" w:cs="Calibri"/>
                <w:b/>
                <w:bCs/>
                <w:sz w:val="18"/>
                <w:szCs w:val="18"/>
              </w:rPr>
            </w:pPr>
            <w:r w:rsidRPr="00DB262B">
              <w:rPr>
                <w:rFonts w:ascii="Corbel" w:hAnsi="Corbel" w:cs="Calibri"/>
                <w:sz w:val="18"/>
                <w:szCs w:val="18"/>
              </w:rPr>
              <w:t>15.7 Postępowanie przed Prezesem UOKiK</w:t>
            </w:r>
          </w:p>
        </w:tc>
      </w:tr>
    </w:tbl>
    <w:p w14:paraId="3B0748E9" w14:textId="77777777" w:rsidR="0085747A" w:rsidRPr="00C746B6" w:rsidRDefault="0085747A" w:rsidP="00C746B6">
      <w:pPr>
        <w:pStyle w:val="Akapitzlist"/>
        <w:numPr>
          <w:ilvl w:val="0"/>
          <w:numId w:val="1"/>
        </w:numPr>
        <w:spacing w:before="240" w:line="240" w:lineRule="auto"/>
        <w:rPr>
          <w:rFonts w:ascii="Corbel" w:hAnsi="Corbel"/>
          <w:sz w:val="24"/>
          <w:szCs w:val="24"/>
        </w:rPr>
      </w:pPr>
      <w:r w:rsidRPr="00C746B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746B6">
        <w:rPr>
          <w:rFonts w:ascii="Corbel" w:hAnsi="Corbel"/>
          <w:sz w:val="24"/>
          <w:szCs w:val="24"/>
        </w:rPr>
        <w:t xml:space="preserve">, </w:t>
      </w:r>
      <w:r w:rsidRPr="00C746B6">
        <w:rPr>
          <w:rFonts w:ascii="Corbel" w:hAnsi="Corbel"/>
          <w:sz w:val="24"/>
          <w:szCs w:val="24"/>
        </w:rPr>
        <w:t xml:space="preserve">zajęć praktycznych </w:t>
      </w:r>
    </w:p>
    <w:p w14:paraId="2184D76E" w14:textId="77777777" w:rsidR="0085747A" w:rsidRPr="00DB262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6"/>
      </w:tblGrid>
      <w:tr w:rsidR="0085747A" w:rsidRPr="00DB262B" w14:paraId="1B038AF6" w14:textId="77777777" w:rsidTr="00C746B6">
        <w:tc>
          <w:tcPr>
            <w:tcW w:w="8506" w:type="dxa"/>
          </w:tcPr>
          <w:p w14:paraId="00496710" w14:textId="77777777" w:rsidR="0085747A" w:rsidRPr="00DB262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DB262B" w14:paraId="1FF2EBA2" w14:textId="77777777" w:rsidTr="00C746B6">
        <w:tc>
          <w:tcPr>
            <w:tcW w:w="8506" w:type="dxa"/>
          </w:tcPr>
          <w:p w14:paraId="71F6B10B" w14:textId="77777777" w:rsidR="0085747A" w:rsidRPr="00DB262B" w:rsidRDefault="00C746B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</w:tr>
    </w:tbl>
    <w:p w14:paraId="45466A69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6D1FB4" w14:textId="77777777" w:rsidR="0085747A" w:rsidRPr="00DB262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>3.4 Metody dydaktyczne</w:t>
      </w:r>
      <w:r w:rsidRPr="00DB262B">
        <w:rPr>
          <w:rFonts w:ascii="Corbel" w:hAnsi="Corbel"/>
          <w:b w:val="0"/>
          <w:smallCaps w:val="0"/>
          <w:szCs w:val="24"/>
        </w:rPr>
        <w:t xml:space="preserve"> </w:t>
      </w:r>
    </w:p>
    <w:p w14:paraId="2A6602E6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8A0879" w14:textId="77777777" w:rsidR="0085747A" w:rsidRPr="00DB262B" w:rsidRDefault="00153C41" w:rsidP="008C4855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DB262B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DB262B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DB262B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</w:p>
    <w:p w14:paraId="1873D869" w14:textId="77777777" w:rsidR="00E960BB" w:rsidRPr="00DB262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41EE71" w14:textId="77777777" w:rsidR="0085747A" w:rsidRPr="00DB262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 </w:t>
      </w:r>
      <w:r w:rsidR="0085747A" w:rsidRPr="00DB262B">
        <w:rPr>
          <w:rFonts w:ascii="Corbel" w:hAnsi="Corbel"/>
          <w:smallCaps w:val="0"/>
          <w:szCs w:val="24"/>
        </w:rPr>
        <w:t>METODY I KRYTERIA OCENY</w:t>
      </w:r>
      <w:r w:rsidR="009F4610" w:rsidRPr="00DB262B">
        <w:rPr>
          <w:rFonts w:ascii="Corbel" w:hAnsi="Corbel"/>
          <w:smallCaps w:val="0"/>
          <w:szCs w:val="24"/>
        </w:rPr>
        <w:t xml:space="preserve"> </w:t>
      </w:r>
    </w:p>
    <w:p w14:paraId="0F6524AB" w14:textId="77777777" w:rsidR="00923D7D" w:rsidRPr="00DB262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63C6FC4" w14:textId="77777777" w:rsidR="0085747A" w:rsidRPr="00DB262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DB262B">
        <w:rPr>
          <w:rFonts w:ascii="Corbel" w:hAnsi="Corbel"/>
          <w:smallCaps w:val="0"/>
          <w:szCs w:val="24"/>
        </w:rPr>
        <w:t>uczenia się</w:t>
      </w:r>
    </w:p>
    <w:p w14:paraId="47987C28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35"/>
        <w:gridCol w:w="2119"/>
      </w:tblGrid>
      <w:tr w:rsidR="0085747A" w:rsidRPr="00DB262B" w14:paraId="34098493" w14:textId="77777777" w:rsidTr="000D4A1D">
        <w:tc>
          <w:tcPr>
            <w:tcW w:w="1990" w:type="dxa"/>
            <w:vAlign w:val="center"/>
          </w:tcPr>
          <w:p w14:paraId="3FDFEF16" w14:textId="77777777" w:rsidR="0085747A" w:rsidRPr="00DB262B" w:rsidRDefault="0071620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CE3EFB2" w14:textId="77777777" w:rsidR="0085747A" w:rsidRPr="00DB262B" w:rsidRDefault="00A84C85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C746B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F6F24D5" w14:textId="77777777" w:rsidR="0085747A" w:rsidRPr="00DB262B" w:rsidRDefault="009F4610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DB26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9" w:type="dxa"/>
            <w:vAlign w:val="center"/>
          </w:tcPr>
          <w:p w14:paraId="05E4B674" w14:textId="77777777" w:rsidR="00923D7D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2384706" w14:textId="77777777" w:rsidR="0085747A" w:rsidRPr="00DB262B" w:rsidRDefault="0085747A" w:rsidP="000D4A1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DB262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0D4A1D" w:rsidRPr="00DB262B" w14:paraId="142856EC" w14:textId="77777777" w:rsidTr="000D4A1D">
        <w:tc>
          <w:tcPr>
            <w:tcW w:w="1990" w:type="dxa"/>
          </w:tcPr>
          <w:p w14:paraId="6C2FDB9C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DB262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DB262B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0308D235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dyskusja w trakcie wykładu</w:t>
            </w:r>
          </w:p>
        </w:tc>
        <w:tc>
          <w:tcPr>
            <w:tcW w:w="2129" w:type="dxa"/>
          </w:tcPr>
          <w:p w14:paraId="0474E957" w14:textId="77777777" w:rsidR="000D4A1D" w:rsidRPr="00DB262B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70277C62" w14:textId="77777777" w:rsidTr="000D4A1D">
        <w:trPr>
          <w:trHeight w:val="260"/>
        </w:trPr>
        <w:tc>
          <w:tcPr>
            <w:tcW w:w="1990" w:type="dxa"/>
          </w:tcPr>
          <w:p w14:paraId="6A9B5B90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 02</w:t>
            </w:r>
          </w:p>
        </w:tc>
        <w:tc>
          <w:tcPr>
            <w:tcW w:w="5528" w:type="dxa"/>
          </w:tcPr>
          <w:p w14:paraId="65148AF9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60246AF1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36941FE1" w14:textId="77777777" w:rsidTr="000D4A1D">
        <w:trPr>
          <w:trHeight w:val="290"/>
        </w:trPr>
        <w:tc>
          <w:tcPr>
            <w:tcW w:w="1990" w:type="dxa"/>
          </w:tcPr>
          <w:p w14:paraId="35DBBDD4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EK_03</w:t>
            </w:r>
          </w:p>
        </w:tc>
        <w:tc>
          <w:tcPr>
            <w:tcW w:w="5528" w:type="dxa"/>
          </w:tcPr>
          <w:p w14:paraId="4A0E3C2A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1F270268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59BEC468" w14:textId="77777777" w:rsidTr="000D4A1D">
        <w:trPr>
          <w:trHeight w:val="300"/>
        </w:trPr>
        <w:tc>
          <w:tcPr>
            <w:tcW w:w="1990" w:type="dxa"/>
          </w:tcPr>
          <w:p w14:paraId="6B97DB3E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EK_04</w:t>
            </w:r>
          </w:p>
        </w:tc>
        <w:tc>
          <w:tcPr>
            <w:tcW w:w="5528" w:type="dxa"/>
          </w:tcPr>
          <w:p w14:paraId="3BC2D7EE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CE2896C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66D7AA9B" w14:textId="77777777" w:rsidTr="000D4A1D">
        <w:trPr>
          <w:trHeight w:val="240"/>
        </w:trPr>
        <w:tc>
          <w:tcPr>
            <w:tcW w:w="1990" w:type="dxa"/>
          </w:tcPr>
          <w:p w14:paraId="0681B143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EK_05</w:t>
            </w:r>
          </w:p>
        </w:tc>
        <w:tc>
          <w:tcPr>
            <w:tcW w:w="5528" w:type="dxa"/>
          </w:tcPr>
          <w:p w14:paraId="387A04E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3C1AAFD1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07B59A75" w14:textId="77777777" w:rsidTr="000D4A1D">
        <w:trPr>
          <w:trHeight w:val="350"/>
        </w:trPr>
        <w:tc>
          <w:tcPr>
            <w:tcW w:w="1990" w:type="dxa"/>
          </w:tcPr>
          <w:p w14:paraId="7AB8F9A9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z w:val="22"/>
                <w:szCs w:val="24"/>
              </w:rPr>
              <w:t>EK_06</w:t>
            </w:r>
          </w:p>
        </w:tc>
        <w:tc>
          <w:tcPr>
            <w:tcW w:w="5528" w:type="dxa"/>
          </w:tcPr>
          <w:p w14:paraId="254EC42E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59C8CEE2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1935A627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90"/>
        </w:trPr>
        <w:tc>
          <w:tcPr>
            <w:tcW w:w="1990" w:type="dxa"/>
          </w:tcPr>
          <w:p w14:paraId="5CF332A0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EK_07</w:t>
            </w:r>
          </w:p>
        </w:tc>
        <w:tc>
          <w:tcPr>
            <w:tcW w:w="5528" w:type="dxa"/>
          </w:tcPr>
          <w:p w14:paraId="78E9FFD6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29" w:type="dxa"/>
          </w:tcPr>
          <w:p w14:paraId="44089B2B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0D4A1D" w:rsidRPr="00DB262B" w14:paraId="6A00209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90"/>
        </w:trPr>
        <w:tc>
          <w:tcPr>
            <w:tcW w:w="1990" w:type="dxa"/>
          </w:tcPr>
          <w:p w14:paraId="3A33DE5D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EK_08</w:t>
            </w:r>
          </w:p>
        </w:tc>
        <w:tc>
          <w:tcPr>
            <w:tcW w:w="5528" w:type="dxa"/>
          </w:tcPr>
          <w:p w14:paraId="72E67877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0EA84F8A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4A1D" w:rsidRPr="00DB262B" w14:paraId="58B68118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6"/>
        </w:trPr>
        <w:tc>
          <w:tcPr>
            <w:tcW w:w="1990" w:type="dxa"/>
          </w:tcPr>
          <w:p w14:paraId="21EF61A7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lastRenderedPageBreak/>
              <w:t>EK_09</w:t>
            </w:r>
          </w:p>
        </w:tc>
        <w:tc>
          <w:tcPr>
            <w:tcW w:w="5528" w:type="dxa"/>
          </w:tcPr>
          <w:p w14:paraId="778215DC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548DA317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0D4A1D" w:rsidRPr="00DB262B" w14:paraId="71C9DA0E" w14:textId="77777777" w:rsidTr="000D4A1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20"/>
        </w:trPr>
        <w:tc>
          <w:tcPr>
            <w:tcW w:w="1990" w:type="dxa"/>
          </w:tcPr>
          <w:p w14:paraId="6C836A74" w14:textId="77777777" w:rsidR="000D4A1D" w:rsidRPr="00190BD7" w:rsidRDefault="000D4A1D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190BD7">
              <w:rPr>
                <w:rFonts w:ascii="Corbel" w:hAnsi="Corbel"/>
                <w:b w:val="0"/>
                <w:smallCaps w:val="0"/>
                <w:sz w:val="22"/>
                <w:szCs w:val="24"/>
              </w:rPr>
              <w:t>EK_10</w:t>
            </w:r>
          </w:p>
        </w:tc>
        <w:tc>
          <w:tcPr>
            <w:tcW w:w="5528" w:type="dxa"/>
          </w:tcPr>
          <w:p w14:paraId="0897E432" w14:textId="77777777" w:rsidR="000D4A1D" w:rsidRPr="00DB262B" w:rsidRDefault="00920719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9" w:type="dxa"/>
          </w:tcPr>
          <w:p w14:paraId="461A15F9" w14:textId="77777777" w:rsidR="000D4A1D" w:rsidRPr="00DB262B" w:rsidRDefault="009A24BF" w:rsidP="000D4A1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67BF3ACD" w14:textId="77777777" w:rsidR="00C746B6" w:rsidRDefault="00C746B6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E3FC415" w14:textId="77777777" w:rsidR="0085747A" w:rsidRPr="00DB262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4.2 </w:t>
      </w:r>
      <w:r w:rsidR="0085747A" w:rsidRPr="00DB262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DB262B">
        <w:rPr>
          <w:rFonts w:ascii="Corbel" w:hAnsi="Corbel"/>
          <w:smallCaps w:val="0"/>
          <w:szCs w:val="24"/>
        </w:rPr>
        <w:t xml:space="preserve"> </w:t>
      </w:r>
    </w:p>
    <w:p w14:paraId="5F522BE6" w14:textId="77777777" w:rsidR="00923D7D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DB262B" w14:paraId="1A1EC723" w14:textId="77777777" w:rsidTr="00923D7D">
        <w:tc>
          <w:tcPr>
            <w:tcW w:w="9670" w:type="dxa"/>
          </w:tcPr>
          <w:p w14:paraId="6E6B0153" w14:textId="77777777" w:rsidR="0085747A" w:rsidRPr="00DB262B" w:rsidRDefault="000D4A1D" w:rsidP="003D02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00DB262B">
              <w:rPr>
                <w:rFonts w:ascii="Corbel" w:hAnsi="Corbel"/>
                <w:b w:val="0"/>
                <w:smallCaps w:val="0"/>
                <w:sz w:val="22"/>
              </w:rPr>
              <w:t>Egzamin pisemny,</w:t>
            </w:r>
            <w:r w:rsidR="003D020C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arkusz egzaminacyjny zawiera 15 pytań.</w:t>
            </w:r>
            <w:r w:rsidR="00964B39" w:rsidRPr="00DB262B">
              <w:rPr>
                <w:rFonts w:ascii="Corbel" w:hAnsi="Corbel"/>
                <w:b w:val="0"/>
                <w:smallCaps w:val="0"/>
                <w:sz w:val="22"/>
              </w:rPr>
              <w:t xml:space="preserve"> </w:t>
            </w:r>
            <w:r w:rsidRPr="00DB262B">
              <w:rPr>
                <w:rFonts w:ascii="Corbel" w:hAnsi="Corbel"/>
                <w:b w:val="0"/>
                <w:smallCaps w:val="0"/>
                <w:sz w:val="22"/>
              </w:rPr>
              <w:t>Za każde pytanie student uzyskuje 1 punkt. Do zaliczenia egzaminu wymagane jest uzyskanie 8 punktów. Opcjonalnie egzamin ustny</w:t>
            </w:r>
          </w:p>
        </w:tc>
      </w:tr>
    </w:tbl>
    <w:p w14:paraId="29CA5877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2B0A366" w14:textId="77777777" w:rsidR="009F4610" w:rsidRPr="00DB262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DB262B">
        <w:rPr>
          <w:rFonts w:ascii="Corbel" w:hAnsi="Corbel"/>
          <w:b/>
          <w:sz w:val="24"/>
          <w:szCs w:val="24"/>
        </w:rPr>
        <w:t xml:space="preserve">5. </w:t>
      </w:r>
      <w:r w:rsidR="00C61DC5" w:rsidRPr="00DB262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79558C" w14:textId="77777777" w:rsidR="0085747A" w:rsidRPr="00DB262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DB262B" w14:paraId="0C3BB951" w14:textId="77777777" w:rsidTr="003E1941">
        <w:tc>
          <w:tcPr>
            <w:tcW w:w="4962" w:type="dxa"/>
            <w:vAlign w:val="center"/>
          </w:tcPr>
          <w:p w14:paraId="12D3BF5E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0613504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DB262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DB262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DB262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DB262B" w14:paraId="32FC56A7" w14:textId="77777777" w:rsidTr="00923D7D">
        <w:tc>
          <w:tcPr>
            <w:tcW w:w="4962" w:type="dxa"/>
          </w:tcPr>
          <w:p w14:paraId="6A410A40" w14:textId="77777777" w:rsidR="0085747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G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DB262B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DB262B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DB262B">
              <w:rPr>
                <w:rFonts w:ascii="Corbel" w:hAnsi="Corbel"/>
                <w:sz w:val="24"/>
                <w:szCs w:val="24"/>
              </w:rPr>
              <w:t xml:space="preserve"> z</w:t>
            </w:r>
            <w:r w:rsidR="00C746B6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DB262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C33316F" w14:textId="77777777" w:rsidR="0085747A" w:rsidRPr="00DB262B" w:rsidRDefault="00185B26" w:rsidP="00C746B6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</w:rPr>
            </w:pPr>
            <w:r w:rsidRPr="00DB262B">
              <w:rPr>
                <w:rFonts w:ascii="Corbel" w:hAnsi="Corbel"/>
              </w:rPr>
              <w:t>45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C61DC5" w:rsidRPr="00DB262B" w14:paraId="15135E69" w14:textId="77777777" w:rsidTr="00923D7D">
        <w:tc>
          <w:tcPr>
            <w:tcW w:w="4962" w:type="dxa"/>
          </w:tcPr>
          <w:p w14:paraId="15950AA7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C6752C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89DDEC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35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C61DC5" w:rsidRPr="00DB262B" w14:paraId="035BCB74" w14:textId="77777777" w:rsidTr="00923D7D">
        <w:tc>
          <w:tcPr>
            <w:tcW w:w="4962" w:type="dxa"/>
          </w:tcPr>
          <w:p w14:paraId="2319940D" w14:textId="77777777" w:rsidR="0071620A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DB262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DB262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7516927" w14:textId="77777777" w:rsidR="00C61DC5" w:rsidRPr="00DB262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93BBA02" w14:textId="77777777" w:rsidR="00C61DC5" w:rsidRPr="00DB262B" w:rsidRDefault="00185B26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70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85747A" w:rsidRPr="00DB262B" w14:paraId="28117B92" w14:textId="77777777" w:rsidTr="00923D7D">
        <w:tc>
          <w:tcPr>
            <w:tcW w:w="4962" w:type="dxa"/>
          </w:tcPr>
          <w:p w14:paraId="7398C3D4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69DA00A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150</w:t>
            </w:r>
            <w:r w:rsidR="009A24BF">
              <w:rPr>
                <w:rFonts w:ascii="Corbel" w:hAnsi="Corbel"/>
              </w:rPr>
              <w:t xml:space="preserve"> godz.</w:t>
            </w:r>
          </w:p>
        </w:tc>
      </w:tr>
      <w:tr w:rsidR="0085747A" w:rsidRPr="00DB262B" w14:paraId="6C7EE8A3" w14:textId="77777777" w:rsidTr="00923D7D">
        <w:tc>
          <w:tcPr>
            <w:tcW w:w="4962" w:type="dxa"/>
          </w:tcPr>
          <w:p w14:paraId="41BE6502" w14:textId="77777777" w:rsidR="0085747A" w:rsidRPr="00DB262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DB262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035D6D1" w14:textId="77777777" w:rsidR="0085747A" w:rsidRPr="00DB262B" w:rsidRDefault="00651D0E" w:rsidP="00C746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B262B"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5BAFB7D0" w14:textId="77777777" w:rsidR="0085747A" w:rsidRPr="00DB262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B262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DB262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F2B977A" w14:textId="77777777" w:rsidR="003E1941" w:rsidRPr="00DB262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5F1942" w14:textId="77777777" w:rsidR="0085747A" w:rsidRPr="00DB262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6. </w:t>
      </w:r>
      <w:r w:rsidR="0085747A" w:rsidRPr="00DB262B">
        <w:rPr>
          <w:rFonts w:ascii="Corbel" w:hAnsi="Corbel"/>
          <w:smallCaps w:val="0"/>
          <w:szCs w:val="24"/>
        </w:rPr>
        <w:t>PRAKTYKI ZAWODOWE W RAMACH PRZEDMIOTU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4958CF38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DB262B" w14:paraId="19909807" w14:textId="77777777" w:rsidTr="00C746B6">
        <w:trPr>
          <w:trHeight w:val="397"/>
        </w:trPr>
        <w:tc>
          <w:tcPr>
            <w:tcW w:w="3544" w:type="dxa"/>
          </w:tcPr>
          <w:p w14:paraId="6F1273CD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1F18539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DB262B" w14:paraId="02C6B773" w14:textId="77777777" w:rsidTr="00C746B6">
        <w:trPr>
          <w:trHeight w:val="397"/>
        </w:trPr>
        <w:tc>
          <w:tcPr>
            <w:tcW w:w="3544" w:type="dxa"/>
          </w:tcPr>
          <w:p w14:paraId="5B25007C" w14:textId="77777777" w:rsidR="0085747A" w:rsidRPr="00DB262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262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5907AE0" w14:textId="77777777" w:rsidR="0085747A" w:rsidRPr="00DB262B" w:rsidRDefault="00C746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78629D" w14:textId="77777777" w:rsidR="003E1941" w:rsidRPr="00DB262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16BDE7A" w14:textId="77777777" w:rsidR="0085747A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DB262B">
        <w:rPr>
          <w:rFonts w:ascii="Corbel" w:hAnsi="Corbel"/>
          <w:smallCaps w:val="0"/>
          <w:szCs w:val="24"/>
        </w:rPr>
        <w:t xml:space="preserve">7. </w:t>
      </w:r>
      <w:r w:rsidR="0085747A" w:rsidRPr="00DB262B">
        <w:rPr>
          <w:rFonts w:ascii="Corbel" w:hAnsi="Corbel"/>
          <w:smallCaps w:val="0"/>
          <w:szCs w:val="24"/>
        </w:rPr>
        <w:t>LITERATURA</w:t>
      </w:r>
      <w:r w:rsidRPr="00DB262B">
        <w:rPr>
          <w:rFonts w:ascii="Corbel" w:hAnsi="Corbel"/>
          <w:smallCaps w:val="0"/>
          <w:szCs w:val="24"/>
        </w:rPr>
        <w:t xml:space="preserve"> </w:t>
      </w:r>
    </w:p>
    <w:p w14:paraId="3242DD11" w14:textId="77777777" w:rsidR="00675843" w:rsidRPr="00DB262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DB262B" w14:paraId="01CF526E" w14:textId="77777777" w:rsidTr="00C746B6">
        <w:trPr>
          <w:trHeight w:val="397"/>
        </w:trPr>
        <w:tc>
          <w:tcPr>
            <w:tcW w:w="7513" w:type="dxa"/>
          </w:tcPr>
          <w:p w14:paraId="4A279A7C" w14:textId="77777777" w:rsidR="000360DB" w:rsidRPr="00DB262B" w:rsidRDefault="000360DB" w:rsidP="003D020C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b/>
                <w:bCs/>
                <w:sz w:val="24"/>
              </w:rPr>
            </w:pPr>
            <w:r w:rsidRPr="00DB262B">
              <w:rPr>
                <w:rFonts w:ascii="Corbel" w:hAnsi="Corbel"/>
                <w:b/>
                <w:bCs/>
                <w:szCs w:val="24"/>
              </w:rPr>
              <w:t>Literatura podstawowa:</w:t>
            </w:r>
          </w:p>
          <w:p w14:paraId="6C5E618F" w14:textId="77777777" w:rsidR="00C54105" w:rsidRPr="00C54105" w:rsidRDefault="00E13E4B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>Blicharz R.</w:t>
            </w:r>
            <w:r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 Publiczne prawo gospodarcze, Warszawa 2017</w:t>
            </w:r>
          </w:p>
          <w:p w14:paraId="7BD194F8" w14:textId="77777777" w:rsidR="00C54105" w:rsidRPr="00C54105" w:rsidRDefault="00C54105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r w:rsidRPr="00C54105">
              <w:rPr>
                <w:rFonts w:ascii="Corbel" w:hAnsi="Corbel"/>
                <w:color w:val="000000"/>
              </w:rPr>
              <w:t>Gronkiewicz-Waltz, Wierzbowski M. (red.), Prawo gospodarcze. Aspekty publicznoprawne, Wyd. 2, Warszawa 2023</w:t>
            </w:r>
          </w:p>
          <w:p w14:paraId="324CEF32" w14:textId="77777777" w:rsidR="000360DB" w:rsidRPr="00DB262B" w:rsidRDefault="000360DB" w:rsidP="003D020C">
            <w:pPr>
              <w:numPr>
                <w:ilvl w:val="0"/>
                <w:numId w:val="3"/>
              </w:numPr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Publiczne prawo gospodarcze</w:t>
            </w:r>
            <w:r w:rsidRPr="00DB262B">
              <w:rPr>
                <w:rFonts w:ascii="Corbel" w:eastAsia="Cambria" w:hAnsi="Corbel"/>
                <w:lang w:eastAsia="pl-PL"/>
              </w:rPr>
              <w:t>, Warszawa 2015</w:t>
            </w:r>
          </w:p>
          <w:p w14:paraId="4C8129CE" w14:textId="77777777" w:rsidR="00C54105" w:rsidRPr="00C54105" w:rsidRDefault="000360DB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r w:rsidRPr="00DB262B">
              <w:rPr>
                <w:rFonts w:ascii="Corbel" w:eastAsia="Cambria" w:hAnsi="Corbel"/>
                <w:lang w:eastAsia="pl-PL"/>
              </w:rPr>
              <w:t xml:space="preserve">Olszewski J. (red.), </w:t>
            </w:r>
            <w:r w:rsidRPr="00DB262B">
              <w:rPr>
                <w:rFonts w:ascii="Corbel" w:eastAsia="Cambria" w:hAnsi="Corbel"/>
                <w:i/>
                <w:iCs/>
                <w:lang w:eastAsia="pl-PL"/>
              </w:rPr>
              <w:t>Prawo gospodarcze. Kompendium</w:t>
            </w:r>
            <w:r w:rsidRPr="00DB262B">
              <w:rPr>
                <w:rFonts w:ascii="Corbel" w:eastAsia="Cambria" w:hAnsi="Corbel"/>
                <w:lang w:eastAsia="pl-PL"/>
              </w:rPr>
              <w:t>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2019</w:t>
            </w:r>
          </w:p>
          <w:p w14:paraId="122D991C" w14:textId="77777777" w:rsidR="00C54105" w:rsidRPr="00C54105" w:rsidRDefault="00C54105" w:rsidP="00C54105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lang w:eastAsia="pl-PL"/>
              </w:rPr>
            </w:pPr>
            <w:proofErr w:type="spellStart"/>
            <w:r w:rsidRPr="00C54105">
              <w:rPr>
                <w:rFonts w:ascii="Corbel" w:hAnsi="Corbel"/>
                <w:color w:val="000000"/>
              </w:rPr>
              <w:t>Powałowski</w:t>
            </w:r>
            <w:proofErr w:type="spellEnd"/>
            <w:r w:rsidRPr="00C54105">
              <w:rPr>
                <w:rFonts w:ascii="Corbel" w:hAnsi="Corbel"/>
                <w:color w:val="000000"/>
              </w:rPr>
              <w:t xml:space="preserve"> A. (red.), Leksykon prawa gospodarczego publicznego. 100 podstawowych pojęć, Wyd. 4, Warszawa 2019</w:t>
            </w:r>
          </w:p>
          <w:p w14:paraId="7A576F68" w14:textId="77777777" w:rsidR="000360DB" w:rsidRPr="00DB262B" w:rsidRDefault="000360DB" w:rsidP="003D020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 w:rsidRPr="00DB262B">
              <w:rPr>
                <w:rFonts w:ascii="Corbel" w:eastAsia="Cambria" w:hAnsi="Corbel"/>
                <w:lang w:eastAsia="pl-PL"/>
              </w:rPr>
              <w:t>Powałowski</w:t>
            </w:r>
            <w:proofErr w:type="spellEnd"/>
            <w:r w:rsidRPr="00DB262B">
              <w:rPr>
                <w:rFonts w:ascii="Corbel" w:eastAsia="Cambria" w:hAnsi="Corbel"/>
                <w:lang w:eastAsia="pl-PL"/>
              </w:rPr>
              <w:t xml:space="preserve"> A.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(red.),</w:t>
            </w:r>
            <w:r w:rsidR="003D020C" w:rsidRPr="00DB262B">
              <w:rPr>
                <w:rFonts w:ascii="Corbel" w:eastAsia="Cambria" w:hAnsi="Corbel"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i/>
                <w:lang w:eastAsia="pl-PL"/>
              </w:rPr>
              <w:t>Prawo gospodarcze publiczne,</w:t>
            </w:r>
            <w:r w:rsidR="003D020C" w:rsidRPr="00DB262B">
              <w:rPr>
                <w:rFonts w:ascii="Corbel" w:eastAsia="Cambria" w:hAnsi="Corbel"/>
                <w:i/>
                <w:lang w:eastAsia="pl-PL"/>
              </w:rPr>
              <w:t xml:space="preserve"> </w:t>
            </w:r>
            <w:r w:rsidRPr="00DB262B">
              <w:rPr>
                <w:rFonts w:ascii="Corbel" w:eastAsia="Cambria" w:hAnsi="Corbel"/>
                <w:lang w:eastAsia="pl-PL"/>
              </w:rPr>
              <w:t>Warszawa 20</w:t>
            </w:r>
            <w:r w:rsidR="00C54105">
              <w:rPr>
                <w:rFonts w:ascii="Corbel" w:eastAsia="Cambria" w:hAnsi="Corbel"/>
                <w:lang w:eastAsia="pl-PL"/>
              </w:rPr>
              <w:t>20</w:t>
            </w:r>
          </w:p>
          <w:p w14:paraId="0759D761" w14:textId="77777777" w:rsidR="0083256E" w:rsidRPr="0083256E" w:rsidRDefault="001611CA" w:rsidP="0083256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ascii="Corbel" w:eastAsia="Cambria" w:hAnsi="Corbel"/>
                <w:sz w:val="24"/>
                <w:lang w:eastAsia="pl-PL"/>
              </w:rPr>
            </w:pPr>
            <w:proofErr w:type="spellStart"/>
            <w:r>
              <w:rPr>
                <w:rFonts w:ascii="Corbel" w:eastAsia="Cambria" w:hAnsi="Corbel"/>
                <w:lang w:eastAsia="pl-PL"/>
              </w:rPr>
              <w:t>Snażyk</w:t>
            </w:r>
            <w:proofErr w:type="spellEnd"/>
            <w:r>
              <w:rPr>
                <w:rFonts w:ascii="Corbel" w:eastAsia="Cambria" w:hAnsi="Corbel"/>
                <w:lang w:eastAsia="pl-PL"/>
              </w:rPr>
              <w:t xml:space="preserve"> Z., Szafrański A., </w:t>
            </w:r>
            <w:r>
              <w:rPr>
                <w:rFonts w:ascii="Corbel" w:eastAsia="Cambria" w:hAnsi="Corbel"/>
                <w:i/>
                <w:iCs/>
                <w:lang w:eastAsia="pl-PL"/>
              </w:rPr>
              <w:t xml:space="preserve">Publiczne prawo gospodarcze, </w:t>
            </w:r>
            <w:r>
              <w:rPr>
                <w:rFonts w:ascii="Corbel" w:eastAsia="Cambria" w:hAnsi="Corbel"/>
                <w:lang w:eastAsia="pl-PL"/>
              </w:rPr>
              <w:t>Warszawa 202</w:t>
            </w:r>
            <w:r w:rsidR="0083256E">
              <w:rPr>
                <w:rFonts w:ascii="Corbel" w:eastAsia="Cambria" w:hAnsi="Corbel"/>
                <w:lang w:eastAsia="pl-PL"/>
              </w:rPr>
              <w:t>3</w:t>
            </w:r>
          </w:p>
          <w:p w14:paraId="1CA85B9D" w14:textId="77777777" w:rsidR="0083256E" w:rsidRPr="0083256E" w:rsidRDefault="0083256E" w:rsidP="0083256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 w:line="240" w:lineRule="auto"/>
              <w:ind w:left="421"/>
              <w:contextualSpacing/>
              <w:jc w:val="both"/>
              <w:rPr>
                <w:rFonts w:eastAsia="Cambria" w:cs="Calibri"/>
                <w:lang w:eastAsia="pl-PL"/>
              </w:rPr>
            </w:pPr>
            <w:proofErr w:type="spellStart"/>
            <w:r w:rsidRPr="0083256E">
              <w:rPr>
                <w:rFonts w:cs="Calibri"/>
                <w:color w:val="000000"/>
              </w:rPr>
              <w:t>Strzyczkowski</w:t>
            </w:r>
            <w:proofErr w:type="spellEnd"/>
            <w:r w:rsidRPr="0083256E">
              <w:rPr>
                <w:rFonts w:cs="Calibri"/>
                <w:color w:val="000000"/>
              </w:rPr>
              <w:t xml:space="preserve"> K., Prawo gospodarcze publiczne, Wyd. 7, Warszawa 2023</w:t>
            </w:r>
          </w:p>
        </w:tc>
      </w:tr>
      <w:tr w:rsidR="0085747A" w:rsidRPr="00DB262B" w14:paraId="103098E6" w14:textId="77777777" w:rsidTr="00A22D10">
        <w:trPr>
          <w:trHeight w:val="3534"/>
        </w:trPr>
        <w:tc>
          <w:tcPr>
            <w:tcW w:w="7513" w:type="dxa"/>
          </w:tcPr>
          <w:p w14:paraId="099A08E0" w14:textId="77777777" w:rsidR="0085747A" w:rsidRPr="00C746B6" w:rsidRDefault="0085747A" w:rsidP="003D020C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C746B6">
              <w:rPr>
                <w:rFonts w:ascii="Corbel" w:hAnsi="Corbel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55334B8" w14:textId="77777777" w:rsidR="00863186" w:rsidRPr="004439AE" w:rsidRDefault="00863186" w:rsidP="006E6400">
            <w:pPr>
              <w:pStyle w:val="Nagwek1"/>
              <w:numPr>
                <w:ilvl w:val="0"/>
                <w:numId w:val="4"/>
              </w:numPr>
              <w:spacing w:before="0" w:beforeAutospacing="0" w:after="0" w:afterAutospacing="0"/>
              <w:ind w:left="597" w:hanging="284"/>
              <w:jc w:val="both"/>
              <w:rPr>
                <w:rFonts w:ascii="Calibri" w:hAnsi="Calibri" w:cs="Calibri"/>
                <w:b w:val="0"/>
                <w:sz w:val="22"/>
                <w:szCs w:val="22"/>
              </w:rPr>
            </w:pP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Hauser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 xml:space="preserve"> R.,</w:t>
            </w:r>
            <w:r w:rsidRPr="004439AE">
              <w:rPr>
                <w:rFonts w:ascii="Calibri" w:hAnsi="Calibri" w:cs="Calibri"/>
                <w:smallCaps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Niewiadomsk</w:t>
            </w:r>
            <w:r w:rsidRPr="004439AE">
              <w:rPr>
                <w:rFonts w:ascii="Calibri" w:hAnsi="Calibri" w:cs="Calibri"/>
                <w:b w:val="0"/>
                <w:smallCaps/>
                <w:sz w:val="22"/>
                <w:szCs w:val="22"/>
              </w:rPr>
              <w:t>i, Wróbel A.,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b w:val="0"/>
                <w:i/>
                <w:sz w:val="22"/>
                <w:szCs w:val="22"/>
              </w:rPr>
              <w:t xml:space="preserve">Publiczne prawo gospodarcze. System Prawa Administracyjnego. Tom 8 A, Tom 8 B, </w:t>
            </w:r>
            <w:r w:rsidRPr="004439AE">
              <w:rPr>
                <w:rFonts w:ascii="Calibri" w:hAnsi="Calibri" w:cs="Calibri"/>
                <w:b w:val="0"/>
                <w:sz w:val="22"/>
                <w:szCs w:val="22"/>
              </w:rPr>
              <w:t>Warszawa 2018;</w:t>
            </w:r>
          </w:p>
          <w:p w14:paraId="141A6249" w14:textId="77777777" w:rsidR="00863186" w:rsidRPr="006E6400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8" w:history="1">
              <w:r w:rsidR="00863186" w:rsidRPr="004439AE">
                <w:rPr>
                  <w:rFonts w:eastAsia="Times New Roman" w:cs="Calibri"/>
                  <w:lang w:eastAsia="pl-PL"/>
                </w:rPr>
                <w:t>Dobaczewska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9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Powałowski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A, </w:t>
            </w:r>
            <w:hyperlink r:id="rId10" w:history="1">
              <w:r w:rsidR="00863186" w:rsidRPr="004439AE">
                <w:rPr>
                  <w:rFonts w:eastAsia="Times New Roman" w:cs="Calibri"/>
                  <w:lang w:eastAsia="pl-PL"/>
                </w:rPr>
                <w:t>Wolska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H.,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Nowe prawo przedsiębiorców</w:t>
            </w:r>
            <w:r w:rsidR="006E6400">
              <w:rPr>
                <w:rFonts w:eastAsia="Times New Roman" w:cs="Calibri"/>
                <w:bCs/>
                <w:i/>
                <w:kern w:val="36"/>
                <w:lang w:eastAsia="pl-PL"/>
              </w:rPr>
              <w:t xml:space="preserve">, </w:t>
            </w:r>
            <w:r w:rsidR="00863186" w:rsidRPr="006E6400">
              <w:rPr>
                <w:rFonts w:eastAsia="Times New Roman" w:cs="Calibri"/>
                <w:bCs/>
                <w:kern w:val="36"/>
                <w:lang w:eastAsia="pl-PL"/>
              </w:rPr>
              <w:t>Warszawa 2018;</w:t>
            </w:r>
          </w:p>
          <w:p w14:paraId="533940FE" w14:textId="77777777" w:rsidR="00863186" w:rsidRPr="004439AE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hyperlink r:id="rId11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Lubeńczuk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G., </w:t>
            </w:r>
            <w:hyperlink r:id="rId12" w:history="1">
              <w:r w:rsidR="00863186" w:rsidRPr="004439AE">
                <w:rPr>
                  <w:rFonts w:eastAsia="Times New Roman" w:cs="Calibri"/>
                  <w:lang w:eastAsia="pl-PL"/>
                </w:rPr>
                <w:t>Wołoszyn-Cichocka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A., </w:t>
            </w:r>
            <w:hyperlink r:id="rId13" w:history="1">
              <w:r w:rsidR="00863186" w:rsidRPr="004439AE">
                <w:rPr>
                  <w:rFonts w:eastAsia="Times New Roman" w:cs="Calibri"/>
                  <w:lang w:eastAsia="pl-PL"/>
                </w:rPr>
                <w:t>Zdyb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Prawo przedsiębiorców. Komentarz, Warszawa</w:t>
            </w:r>
            <w:r w:rsidR="00863186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2019;</w:t>
            </w:r>
          </w:p>
          <w:p w14:paraId="567F2C22" w14:textId="77777777" w:rsidR="00863186" w:rsidRPr="004439AE" w:rsidRDefault="00863186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eastAsia="Times New Roman" w:cs="Calibri"/>
                <w:bCs/>
                <w:kern w:val="36"/>
                <w:lang w:eastAsia="pl-PL"/>
              </w:rPr>
            </w:pP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Kozieł G., </w:t>
            </w:r>
            <w:r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CEIDG. Rzecznik Małych i Średnich Przedsiębiorców. Przedsiębiorcy zagraniczni w obrocie gospodarczym. Komentarz</w:t>
            </w:r>
            <w:r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67CD08B7" w14:textId="77777777" w:rsidR="00863186" w:rsidRPr="004439AE" w:rsidRDefault="00000000" w:rsidP="006E6400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hyperlink r:id="rId14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Dargas</w:t>
              </w:r>
              <w:proofErr w:type="spellEnd"/>
              <w:r w:rsidR="00863186" w:rsidRPr="004439AE">
                <w:rPr>
                  <w:rFonts w:eastAsia="Times New Roman" w:cs="Calibri"/>
                  <w:lang w:eastAsia="pl-PL"/>
                </w:rPr>
                <w:t>-Draganik</w:t>
              </w:r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M., </w:t>
            </w:r>
            <w:hyperlink r:id="rId15" w:history="1">
              <w:proofErr w:type="spellStart"/>
              <w:r w:rsidR="00863186" w:rsidRPr="004439AE">
                <w:rPr>
                  <w:rFonts w:eastAsia="Times New Roman" w:cs="Calibri"/>
                  <w:lang w:eastAsia="pl-PL"/>
                </w:rPr>
                <w:t>Formela</w:t>
              </w:r>
              <w:proofErr w:type="spellEnd"/>
            </w:hyperlink>
            <w:r w:rsidR="00863186" w:rsidRPr="004439AE">
              <w:rPr>
                <w:rFonts w:eastAsia="Times New Roman" w:cs="Calibri"/>
                <w:lang w:eastAsia="pl-PL"/>
              </w:rPr>
              <w:t xml:space="preserve"> J.,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 xml:space="preserve"> </w:t>
            </w:r>
            <w:r w:rsidR="00863186" w:rsidRPr="004439AE">
              <w:rPr>
                <w:rFonts w:eastAsia="Times New Roman" w:cs="Calibri"/>
                <w:bCs/>
                <w:i/>
                <w:kern w:val="36"/>
                <w:lang w:eastAsia="pl-PL"/>
              </w:rPr>
              <w:t>Ustawa o wspieraniu nowych inwestycji. Komentarz</w:t>
            </w:r>
            <w:r w:rsidR="00863186" w:rsidRPr="004439AE">
              <w:rPr>
                <w:rFonts w:eastAsia="Times New Roman" w:cs="Calibri"/>
                <w:bCs/>
                <w:kern w:val="36"/>
                <w:lang w:eastAsia="pl-PL"/>
              </w:rPr>
              <w:t>, Warszawa 2019;</w:t>
            </w:r>
          </w:p>
          <w:p w14:paraId="3FD431B1" w14:textId="77777777" w:rsidR="0083256E" w:rsidRPr="0083256E" w:rsidRDefault="0083256E" w:rsidP="008325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</w:t>
            </w:r>
            <w:proofErr w:type="spellStart"/>
            <w:r w:rsidRPr="0083256E">
              <w:rPr>
                <w:rFonts w:cs="Calibri"/>
              </w:rPr>
              <w:t>obowiązki</w:t>
            </w:r>
            <w:proofErr w:type="spellEnd"/>
            <w:r w:rsidRPr="0083256E">
              <w:rPr>
                <w:rFonts w:cs="Calibri"/>
              </w:rPr>
              <w:t xml:space="preserve"> informacyjne w prawie publicznym” [w:] M. </w:t>
            </w:r>
            <w:proofErr w:type="spellStart"/>
            <w:r w:rsidRPr="0083256E">
              <w:rPr>
                <w:rFonts w:cs="Calibri"/>
              </w:rPr>
              <w:t>Królikowska-Olczak</w:t>
            </w:r>
            <w:proofErr w:type="spellEnd"/>
            <w:r w:rsidRPr="0083256E">
              <w:rPr>
                <w:rFonts w:cs="Calibri"/>
              </w:rPr>
              <w:t xml:space="preserve"> (red.), „Sektory infrastrukturalne – problematyka prawna”, Warszawa 2018, s. 93-112;</w:t>
            </w:r>
          </w:p>
          <w:p w14:paraId="4A832BA4" w14:textId="77777777" w:rsidR="0083256E" w:rsidRPr="0083256E" w:rsidRDefault="0083256E" w:rsidP="0083256E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597" w:hanging="284"/>
              <w:jc w:val="both"/>
              <w:outlineLvl w:val="0"/>
              <w:rPr>
                <w:rFonts w:cs="Calibri"/>
                <w:b/>
                <w:smallCaps/>
              </w:rPr>
            </w:pPr>
            <w:r w:rsidRPr="0083256E">
              <w:rPr>
                <w:rFonts w:cs="Calibri"/>
              </w:rPr>
              <w:t xml:space="preserve">Olszewski J., „Nowe </w:t>
            </w:r>
            <w:proofErr w:type="spellStart"/>
            <w:r w:rsidRPr="0083256E">
              <w:rPr>
                <w:rFonts w:cs="Calibri"/>
              </w:rPr>
              <w:t>obowiązki</w:t>
            </w:r>
            <w:proofErr w:type="spellEnd"/>
            <w:r w:rsidRPr="0083256E">
              <w:rPr>
                <w:rFonts w:cs="Calibri"/>
              </w:rPr>
              <w:t xml:space="preserve"> informacyjne w zakresie tworzenia ładu korporacyjnego na przykładzie nowelizacji ustawy o KRS” [w:] K. Bilewska (red.), „</w:t>
            </w:r>
            <w:proofErr w:type="spellStart"/>
            <w:r w:rsidRPr="0083256E">
              <w:rPr>
                <w:rFonts w:cs="Calibri"/>
              </w:rPr>
              <w:t>Efektywnośc</w:t>
            </w:r>
            <w:proofErr w:type="spellEnd"/>
            <w:r w:rsidRPr="0083256E">
              <w:rPr>
                <w:rFonts w:cs="Calibri"/>
              </w:rPr>
              <w:t xml:space="preserve">́ </w:t>
            </w:r>
            <w:proofErr w:type="spellStart"/>
            <w:r w:rsidRPr="0083256E">
              <w:rPr>
                <w:rFonts w:cs="Calibri"/>
              </w:rPr>
              <w:t>zarządzania</w:t>
            </w:r>
            <w:proofErr w:type="spellEnd"/>
            <w:r w:rsidRPr="0083256E">
              <w:rPr>
                <w:rFonts w:cs="Calibri"/>
              </w:rPr>
              <w:t xml:space="preserve"> i nadzoru w </w:t>
            </w:r>
            <w:proofErr w:type="spellStart"/>
            <w:r w:rsidRPr="0083256E">
              <w:rPr>
                <w:rFonts w:cs="Calibri"/>
              </w:rPr>
              <w:t>spółce</w:t>
            </w:r>
            <w:proofErr w:type="spellEnd"/>
            <w:r w:rsidRPr="0083256E">
              <w:rPr>
                <w:rFonts w:cs="Calibri"/>
              </w:rPr>
              <w:t xml:space="preserve"> handlowej. W poszukiwaniu optymalnego ustroju </w:t>
            </w:r>
            <w:proofErr w:type="spellStart"/>
            <w:r w:rsidRPr="0083256E">
              <w:rPr>
                <w:rFonts w:cs="Calibri"/>
              </w:rPr>
              <w:t>spółki</w:t>
            </w:r>
            <w:proofErr w:type="spellEnd"/>
            <w:r w:rsidRPr="0083256E">
              <w:rPr>
                <w:rFonts w:cs="Calibri"/>
              </w:rPr>
              <w:t xml:space="preserve">”, Warszawa 2018, s. 30-52 </w:t>
            </w:r>
          </w:p>
          <w:p w14:paraId="252E1257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 xml:space="preserve">Olszewski J.,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Obowiązki</w:t>
            </w:r>
            <w:proofErr w:type="spellEnd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informacyjne w gospodarce jako element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>zwiększania</w:t>
            </w:r>
            <w:proofErr w:type="spellEnd"/>
            <w:r w:rsidRPr="0083256E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konkurencji</w:t>
            </w:r>
            <w:r w:rsidRPr="0083256E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83256E">
              <w:rPr>
                <w:rFonts w:ascii="Calibri" w:hAnsi="Calibri" w:cs="Calibri"/>
                <w:sz w:val="22"/>
                <w:szCs w:val="22"/>
              </w:rPr>
              <w:t>Rzeszów</w:t>
            </w:r>
            <w:proofErr w:type="spellEnd"/>
            <w:r w:rsidRPr="0083256E">
              <w:rPr>
                <w:rFonts w:ascii="Calibri" w:hAnsi="Calibri" w:cs="Calibri"/>
                <w:sz w:val="22"/>
                <w:szCs w:val="22"/>
              </w:rPr>
              <w:t xml:space="preserve"> 2020;</w:t>
            </w:r>
          </w:p>
          <w:p w14:paraId="73824C53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83256E">
              <w:rPr>
                <w:rFonts w:ascii="Calibri" w:hAnsi="Calibri" w:cs="Calibri"/>
                <w:sz w:val="22"/>
                <w:szCs w:val="22"/>
              </w:rPr>
              <w:t>Olszewski J., „Prawo rejestrowe” [w:] R. Blicharza (red.), „</w:t>
            </w:r>
            <w:proofErr w:type="spellStart"/>
            <w:r w:rsidRPr="0083256E">
              <w:rPr>
                <w:rFonts w:ascii="Calibri" w:hAnsi="Calibri" w:cs="Calibri"/>
                <w:sz w:val="22"/>
                <w:szCs w:val="22"/>
              </w:rPr>
              <w:t>Przedsiębiorca</w:t>
            </w:r>
            <w:proofErr w:type="spellEnd"/>
            <w:r w:rsidRPr="0083256E">
              <w:rPr>
                <w:rFonts w:ascii="Calibri" w:hAnsi="Calibri" w:cs="Calibri"/>
                <w:sz w:val="22"/>
                <w:szCs w:val="22"/>
              </w:rPr>
              <w:t xml:space="preserve">. Zagadnienia wybrane”, Wydawnictwo UŚ, Katowice 2017, s. 35-86 </w:t>
            </w:r>
          </w:p>
          <w:p w14:paraId="68B6F93F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Instytucje klasyfikacji ratingowej w Unii Europejskiej i w Indiach. Dwie drogi reformowania,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[w:] M.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Stępien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́, R. Łukasiewicz (red.),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Prawo azjatyckie z perspektywy Europejskiej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Torun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́ 2018, s. 85-112</w:t>
            </w:r>
          </w:p>
          <w:p w14:paraId="4E84D1B5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Ostatnie zmiany w prawie autorskim i propozycje dalszych reform,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Rozdział I, [w:] J. Olszewski, E. Małecka (red.), </w:t>
            </w:r>
            <w:proofErr w:type="spellStart"/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Współczesne</w:t>
            </w:r>
            <w:proofErr w:type="spellEnd"/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 xml:space="preserve"> wyzwania prawa własności intelektualnej. Między teorią a praktyką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Wydawnictwo Uniwersytetu Rzeszowskiego,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Rzeszów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2016, s. 17-28;</w:t>
            </w:r>
          </w:p>
          <w:p w14:paraId="586DF534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Olszewski J., 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</w:rPr>
              <w:t>Ważniejsze obowiązki informacyjne jako działania prewencyjne w sytuacjach podejrzenia prania pieniędzy lub finansowania terroryzmu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83256E">
              <w:rPr>
                <w:rFonts w:ascii="Calibri" w:hAnsi="Calibri" w:cs="Calibri"/>
                <w:i/>
                <w:iCs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Rzeszów 2020;</w:t>
            </w:r>
          </w:p>
          <w:p w14:paraId="0D64ADAD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Olszewski J., „Konstytucyjny obowiązek wykonywania dialogu w praktyce” [w:] R. Grabowski (red.) w: „XXV lat Konstytucji Rzeczypospolitej Polskiej. Księga jubileuszowa dedykowana Profesor Halinie Ziębie-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Załuckiej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z okazji 70. Rocznicy urodzin”, Toruń 2022, s. 431-446</w:t>
            </w:r>
          </w:p>
          <w:p w14:paraId="6A677AE5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Compliance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jako prewencyjna forma informowania” [w:] Acta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Universitatis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Wratislaviensis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Wrocław 2022, Tom 334 (2022): „Współczesne funkcje państwa wobec gospodarki. Księga jubileuszowa Profesora Tadeusza </w:t>
            </w: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Kocowskiego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”, nr 4101, s. 667-677;</w:t>
            </w:r>
          </w:p>
          <w:p w14:paraId="1EE2941C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J., „Obowiązki informacyjne w gospodarce jako element zwiększania konkurencji”, Rzeszów 2020;</w:t>
            </w:r>
          </w:p>
          <w:p w14:paraId="7558C5BE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ind w:left="597" w:hanging="284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Olszewski J. (red.), „Ewolucja prawa regulującego działalność agencji ratingowych w Unii Europejskiej” [w:]„Rynek usług finansowych: inwestycyjnych, bankowych </w:t>
            </w:r>
            <w:r w:rsidRPr="0083256E">
              <w:rPr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i ubezpieczeniowych - między teorią a praktyką”, Warszawa 2020, s. 163-190;</w:t>
            </w:r>
          </w:p>
          <w:p w14:paraId="69A7067A" w14:textId="77777777" w:rsidR="0083256E" w:rsidRPr="0083256E" w:rsidRDefault="0083256E" w:rsidP="0083256E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>Powałowski</w:t>
            </w:r>
            <w:proofErr w:type="spellEnd"/>
            <w:r w:rsidRPr="008325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A., Przeszło E. (red.), Leksykon prawa zamówień publicznych. Podstawowe pojęcia, Warszawa 2022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;</w:t>
            </w:r>
          </w:p>
          <w:p w14:paraId="47B06B49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Jagielska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M.,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Sprzedaz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̇ konsumencka w teorii i praktyce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Warszawa 2016</w:t>
            </w:r>
            <w:r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;</w:t>
            </w:r>
          </w:p>
          <w:p w14:paraId="561097C0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Farmaceuta jako gwarant prawidłowego wykonywania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zadan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́ aptek </w:t>
            </w:r>
            <w:proofErr w:type="spellStart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ogólnodostępnych</w:t>
            </w:r>
            <w:proofErr w:type="spellEnd"/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 xml:space="preserve"> w zakresie opieki farmaceutycznej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[w:] 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  <w:t>Wpływ zmian społecznych i ustrojowych na system prawa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, red. Kalina-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Prasznic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U.;</w:t>
            </w:r>
          </w:p>
          <w:p w14:paraId="559A7E7C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lastRenderedPageBreak/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O.,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Prawne uregulowania wykonywania zawodów medycznych jako część systemu ochrony zdrowia w Polsce,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 xml:space="preserve"> Zeszyty Naukowe Uniwersytetu Rzeszowskiego,</w:t>
            </w:r>
            <w:r w:rsidRPr="004439AE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2020;</w:t>
            </w:r>
          </w:p>
          <w:p w14:paraId="22F33DCE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4439AE">
              <w:rPr>
                <w:rFonts w:ascii="Calibri" w:hAnsi="Calibri" w:cs="Calibri"/>
                <w:iCs/>
                <w:color w:val="000000" w:themeColor="text1"/>
                <w:sz w:val="22"/>
                <w:szCs w:val="22"/>
              </w:rPr>
              <w:t xml:space="preserve">O., </w:t>
            </w:r>
            <w:r w:rsidRPr="004439AE">
              <w:rPr>
                <w:rFonts w:ascii="Calibri" w:hAnsi="Calibri" w:cs="Calibri"/>
                <w:i/>
                <w:color w:val="000000" w:themeColor="text1"/>
                <w:sz w:val="22"/>
                <w:szCs w:val="22"/>
              </w:rPr>
              <w:t>Apteka dla aptekarza jako element oddziaływania na bezpieczeństwo farmaceutyczne</w:t>
            </w: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, Studia i Materiały "Miscellanea </w:t>
            </w: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Oeconomicae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" Nr 3/2018, tom II, red. R. Frey, s. 31-42;</w:t>
            </w:r>
          </w:p>
          <w:p w14:paraId="6896CABF" w14:textId="77777777" w:rsidR="00863186" w:rsidRPr="004439AE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</w:rPr>
            </w:pPr>
            <w:proofErr w:type="spellStart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Bróż</w:t>
            </w:r>
            <w:proofErr w:type="spellEnd"/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O., </w:t>
            </w:r>
            <w:r w:rsidRPr="004439AE">
              <w:rPr>
                <w:rFonts w:ascii="Calibri" w:eastAsia="Calibri" w:hAnsi="Calibri" w:cs="Calibri"/>
                <w:i/>
                <w:color w:val="000000" w:themeColor="text1"/>
                <w:sz w:val="22"/>
                <w:szCs w:val="22"/>
              </w:rPr>
              <w:t>Systemy informatyczne wspierające nadzór nad bezpieczeństwem stosowania produktów leczniczych</w:t>
            </w:r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,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Ius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et </w:t>
            </w:r>
            <w:proofErr w:type="spellStart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Administratio</w:t>
            </w:r>
            <w:proofErr w:type="spellEnd"/>
            <w:r w:rsidRPr="004439AE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1/2018;</w:t>
            </w:r>
          </w:p>
          <w:p w14:paraId="7BECE317" w14:textId="77777777"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4439A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Zmiany proceduralne w ramach nowego prawa zamówień publicznych a udział mikro, małych i średnich przedsiębiorców w rynku,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Zeszyty Naukowe Uniwersytetu Rzeszowskiego,</w:t>
            </w:r>
            <w:r w:rsidRPr="00A86E6D">
              <w:rPr>
                <w:rFonts w:ascii="Calibri" w:hAnsi="Calibri" w:cs="Calibr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  <w:shd w:val="clear" w:color="auto" w:fill="FFFFFF"/>
              </w:rPr>
              <w:t>Rzeszów 2020.</w:t>
            </w:r>
          </w:p>
          <w:p w14:paraId="49D0E42A" w14:textId="77777777" w:rsidR="00863186" w:rsidRPr="00A86E6D" w:rsidRDefault="00863186" w:rsidP="00863186">
            <w:pPr>
              <w:pStyle w:val="NormalnyWeb"/>
              <w:numPr>
                <w:ilvl w:val="0"/>
                <w:numId w:val="4"/>
              </w:numPr>
              <w:jc w:val="both"/>
              <w:rPr>
                <w:rFonts w:ascii="Calibri" w:hAnsi="Calibri" w:cs="Calibri"/>
                <w:i/>
                <w:iCs/>
                <w:sz w:val="22"/>
                <w:szCs w:val="22"/>
              </w:rPr>
            </w:pPr>
            <w:r w:rsidRPr="00A86E6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Stapiński R.,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Zakończenie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>działalności</w:t>
            </w:r>
            <w:proofErr w:type="spellEnd"/>
            <w:r w:rsidRPr="00A86E6D">
              <w:rPr>
                <w:rFonts w:ascii="Calibri" w:hAnsi="Calibri" w:cs="Calibri"/>
                <w:i/>
                <w:iCs/>
                <w:sz w:val="22"/>
                <w:szCs w:val="22"/>
              </w:rPr>
              <w:t xml:space="preserve"> gospodarczej</w:t>
            </w:r>
            <w:r w:rsidRPr="00A86E6D">
              <w:rPr>
                <w:rFonts w:ascii="Calibri" w:hAnsi="Calibri" w:cs="Calibri"/>
                <w:sz w:val="22"/>
                <w:szCs w:val="22"/>
              </w:rPr>
              <w:t xml:space="preserve"> [w:] R. Blicharz, A.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Powałowski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 xml:space="preserve"> (red.), „Prawo </w:t>
            </w:r>
            <w:proofErr w:type="spellStart"/>
            <w:r w:rsidRPr="00A86E6D">
              <w:rPr>
                <w:rFonts w:ascii="Calibri" w:hAnsi="Calibri" w:cs="Calibri"/>
                <w:sz w:val="22"/>
                <w:szCs w:val="22"/>
              </w:rPr>
              <w:t>przedsiębiorcy</w:t>
            </w:r>
            <w:proofErr w:type="spellEnd"/>
            <w:r w:rsidRPr="00A86E6D">
              <w:rPr>
                <w:rFonts w:ascii="Calibri" w:hAnsi="Calibri" w:cs="Calibri"/>
                <w:sz w:val="22"/>
                <w:szCs w:val="22"/>
              </w:rPr>
              <w:t>”, Warszawa 2019, s. 167-172;</w:t>
            </w:r>
          </w:p>
          <w:p w14:paraId="6DCDEE01" w14:textId="77777777" w:rsidR="000360DB" w:rsidRPr="00DB262B" w:rsidRDefault="00863186" w:rsidP="00863186">
            <w:pPr>
              <w:pStyle w:val="Akapitzlist"/>
              <w:numPr>
                <w:ilvl w:val="0"/>
                <w:numId w:val="4"/>
              </w:numPr>
              <w:spacing w:before="100" w:beforeAutospacing="1" w:after="100" w:afterAutospacing="1" w:line="240" w:lineRule="auto"/>
              <w:jc w:val="both"/>
              <w:outlineLvl w:val="0"/>
              <w:rPr>
                <w:rFonts w:ascii="Corbel" w:eastAsia="Times New Roman" w:hAnsi="Corbel" w:cstheme="minorHAnsi"/>
                <w:bCs/>
                <w:kern w:val="36"/>
                <w:lang w:eastAsia="pl-PL"/>
              </w:rPr>
            </w:pPr>
            <w:r w:rsidRPr="00A86E6D">
              <w:rPr>
                <w:rFonts w:cs="Calibri"/>
              </w:rPr>
              <w:t xml:space="preserve">Stapiński R., </w:t>
            </w:r>
            <w:proofErr w:type="spellStart"/>
            <w:r w:rsidRPr="00A86E6D">
              <w:rPr>
                <w:rFonts w:cs="Calibri"/>
                <w:i/>
                <w:iCs/>
              </w:rPr>
              <w:t>Efektywnośc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́ realizacji polityki </w:t>
            </w:r>
            <w:proofErr w:type="spellStart"/>
            <w:r w:rsidRPr="00A86E6D">
              <w:rPr>
                <w:rFonts w:cs="Calibri"/>
                <w:i/>
                <w:iCs/>
              </w:rPr>
              <w:t>środowiskowej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</w:t>
            </w:r>
            <w:proofErr w:type="spellStart"/>
            <w:r w:rsidRPr="00A86E6D">
              <w:rPr>
                <w:rFonts w:cs="Calibri"/>
                <w:i/>
                <w:iCs/>
              </w:rPr>
              <w:t>państwa</w:t>
            </w:r>
            <w:proofErr w:type="spellEnd"/>
            <w:r w:rsidRPr="00A86E6D">
              <w:rPr>
                <w:rFonts w:cs="Calibri"/>
                <w:i/>
                <w:iCs/>
              </w:rPr>
              <w:t xml:space="preserve"> w ramach systemu </w:t>
            </w:r>
            <w:proofErr w:type="spellStart"/>
            <w:r w:rsidRPr="00A86E6D">
              <w:rPr>
                <w:rFonts w:cs="Calibri"/>
                <w:i/>
                <w:iCs/>
              </w:rPr>
              <w:t>zamówien</w:t>
            </w:r>
            <w:proofErr w:type="spellEnd"/>
            <w:r w:rsidRPr="00A86E6D">
              <w:rPr>
                <w:rFonts w:cs="Calibri"/>
                <w:i/>
                <w:iCs/>
              </w:rPr>
              <w:t>́ publicznych - stan obecny i perspektywa zmian</w:t>
            </w:r>
            <w:r w:rsidRPr="00A86E6D">
              <w:rPr>
                <w:rFonts w:cs="Calibri"/>
              </w:rPr>
              <w:t xml:space="preserve"> [w:] M. </w:t>
            </w:r>
            <w:proofErr w:type="spellStart"/>
            <w:r w:rsidRPr="00A86E6D">
              <w:rPr>
                <w:rFonts w:cs="Calibri"/>
              </w:rPr>
              <w:t>Lemonnier</w:t>
            </w:r>
            <w:proofErr w:type="spellEnd"/>
            <w:r w:rsidRPr="00A86E6D">
              <w:rPr>
                <w:rFonts w:cs="Calibri"/>
              </w:rPr>
              <w:t>, H. Nowak (red.), „</w:t>
            </w:r>
            <w:proofErr w:type="spellStart"/>
            <w:r w:rsidRPr="00A86E6D">
              <w:rPr>
                <w:rFonts w:cs="Calibri"/>
              </w:rPr>
              <w:t>Dzis</w:t>
            </w:r>
            <w:proofErr w:type="spellEnd"/>
            <w:r w:rsidRPr="00A86E6D">
              <w:rPr>
                <w:rFonts w:cs="Calibri"/>
              </w:rPr>
              <w:t xml:space="preserve">́ i jutro </w:t>
            </w:r>
            <w:proofErr w:type="spellStart"/>
            <w:r w:rsidRPr="00A86E6D">
              <w:rPr>
                <w:rFonts w:cs="Calibri"/>
              </w:rPr>
              <w:t>zamówien</w:t>
            </w:r>
            <w:proofErr w:type="spellEnd"/>
            <w:r w:rsidRPr="00A86E6D">
              <w:rPr>
                <w:rFonts w:cs="Calibri"/>
              </w:rPr>
              <w:t>́ publicznych”, Warszawa 2019, s. 167-176.</w:t>
            </w:r>
          </w:p>
        </w:tc>
      </w:tr>
    </w:tbl>
    <w:p w14:paraId="33665ED6" w14:textId="77777777" w:rsidR="0085747A" w:rsidRPr="00DB262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5102D1" w14:textId="77777777" w:rsidR="0085747A" w:rsidRPr="00DB262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DB262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DB262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24CD1" w14:textId="77777777" w:rsidR="00A41872" w:rsidRDefault="00A41872" w:rsidP="00C16ABF">
      <w:pPr>
        <w:spacing w:after="0" w:line="240" w:lineRule="auto"/>
      </w:pPr>
      <w:r>
        <w:separator/>
      </w:r>
    </w:p>
  </w:endnote>
  <w:endnote w:type="continuationSeparator" w:id="0">
    <w:p w14:paraId="3320F518" w14:textId="77777777" w:rsidR="00A41872" w:rsidRDefault="00A4187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C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Bold"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A1127" w14:textId="77777777" w:rsidR="00A41872" w:rsidRDefault="00A41872" w:rsidP="00C16ABF">
      <w:pPr>
        <w:spacing w:after="0" w:line="240" w:lineRule="auto"/>
      </w:pPr>
      <w:r>
        <w:separator/>
      </w:r>
    </w:p>
  </w:footnote>
  <w:footnote w:type="continuationSeparator" w:id="0">
    <w:p w14:paraId="1E4DCA70" w14:textId="77777777" w:rsidR="00A41872" w:rsidRDefault="00A41872" w:rsidP="00C16ABF">
      <w:pPr>
        <w:spacing w:after="0" w:line="240" w:lineRule="auto"/>
      </w:pPr>
      <w:r>
        <w:continuationSeparator/>
      </w:r>
    </w:p>
  </w:footnote>
  <w:footnote w:id="1">
    <w:p w14:paraId="3C4B9A72" w14:textId="77777777" w:rsidR="001A7902" w:rsidRDefault="001A7902" w:rsidP="001A7902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D486F"/>
    <w:multiLevelType w:val="hybridMultilevel"/>
    <w:tmpl w:val="EB48B85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7DE16FB"/>
    <w:multiLevelType w:val="hybridMultilevel"/>
    <w:tmpl w:val="9020A67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3D0B95"/>
    <w:multiLevelType w:val="hybridMultilevel"/>
    <w:tmpl w:val="118A3A8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2325279">
    <w:abstractNumId w:val="1"/>
  </w:num>
  <w:num w:numId="2" w16cid:durableId="946885448">
    <w:abstractNumId w:val="3"/>
  </w:num>
  <w:num w:numId="3" w16cid:durableId="1689330386">
    <w:abstractNumId w:val="2"/>
  </w:num>
  <w:num w:numId="4" w16cid:durableId="162387520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AB9"/>
    <w:rsid w:val="000360DB"/>
    <w:rsid w:val="00042A51"/>
    <w:rsid w:val="00042D2E"/>
    <w:rsid w:val="00044C82"/>
    <w:rsid w:val="00057D2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D4A1D"/>
    <w:rsid w:val="000E2FD7"/>
    <w:rsid w:val="000F1C57"/>
    <w:rsid w:val="000F5615"/>
    <w:rsid w:val="00113495"/>
    <w:rsid w:val="00124BFF"/>
    <w:rsid w:val="0012560E"/>
    <w:rsid w:val="00127108"/>
    <w:rsid w:val="00130723"/>
    <w:rsid w:val="00134B13"/>
    <w:rsid w:val="00146BC0"/>
    <w:rsid w:val="00153C41"/>
    <w:rsid w:val="00154381"/>
    <w:rsid w:val="001611CA"/>
    <w:rsid w:val="001640A7"/>
    <w:rsid w:val="00164FA7"/>
    <w:rsid w:val="00166A03"/>
    <w:rsid w:val="001718A7"/>
    <w:rsid w:val="001737CF"/>
    <w:rsid w:val="00176083"/>
    <w:rsid w:val="00185B26"/>
    <w:rsid w:val="00190BD7"/>
    <w:rsid w:val="00192F37"/>
    <w:rsid w:val="001A3C45"/>
    <w:rsid w:val="001A70D2"/>
    <w:rsid w:val="001A7902"/>
    <w:rsid w:val="001D657B"/>
    <w:rsid w:val="001D7B54"/>
    <w:rsid w:val="001E0209"/>
    <w:rsid w:val="001F2CA2"/>
    <w:rsid w:val="0020055A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7CB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5AF"/>
    <w:rsid w:val="00363F78"/>
    <w:rsid w:val="003A0A5B"/>
    <w:rsid w:val="003A1176"/>
    <w:rsid w:val="003B59C1"/>
    <w:rsid w:val="003C0BAE"/>
    <w:rsid w:val="003D020C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524B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6232"/>
    <w:rsid w:val="004D2C67"/>
    <w:rsid w:val="004D5282"/>
    <w:rsid w:val="004E3B46"/>
    <w:rsid w:val="004F1551"/>
    <w:rsid w:val="004F55A3"/>
    <w:rsid w:val="004F7C7B"/>
    <w:rsid w:val="0050496F"/>
    <w:rsid w:val="00513B6F"/>
    <w:rsid w:val="00517C63"/>
    <w:rsid w:val="005363C4"/>
    <w:rsid w:val="00536BDE"/>
    <w:rsid w:val="00543ACC"/>
    <w:rsid w:val="005440AE"/>
    <w:rsid w:val="0056696D"/>
    <w:rsid w:val="0059484D"/>
    <w:rsid w:val="005A0855"/>
    <w:rsid w:val="005A3196"/>
    <w:rsid w:val="005C080F"/>
    <w:rsid w:val="005C55E5"/>
    <w:rsid w:val="005C696A"/>
    <w:rsid w:val="005E3223"/>
    <w:rsid w:val="005E4B62"/>
    <w:rsid w:val="005E6E85"/>
    <w:rsid w:val="005F31D2"/>
    <w:rsid w:val="0061029B"/>
    <w:rsid w:val="00617230"/>
    <w:rsid w:val="00621CE1"/>
    <w:rsid w:val="00624DAA"/>
    <w:rsid w:val="00627FC9"/>
    <w:rsid w:val="0064489E"/>
    <w:rsid w:val="00647FA8"/>
    <w:rsid w:val="00650C5F"/>
    <w:rsid w:val="00651D0E"/>
    <w:rsid w:val="00654934"/>
    <w:rsid w:val="006620D9"/>
    <w:rsid w:val="00671958"/>
    <w:rsid w:val="006753B8"/>
    <w:rsid w:val="00675843"/>
    <w:rsid w:val="00696477"/>
    <w:rsid w:val="006D050F"/>
    <w:rsid w:val="006D6139"/>
    <w:rsid w:val="006E5D65"/>
    <w:rsid w:val="006E6400"/>
    <w:rsid w:val="006F1282"/>
    <w:rsid w:val="006F1FBC"/>
    <w:rsid w:val="006F31E2"/>
    <w:rsid w:val="006F7462"/>
    <w:rsid w:val="007036AD"/>
    <w:rsid w:val="00706544"/>
    <w:rsid w:val="007072BA"/>
    <w:rsid w:val="0071620A"/>
    <w:rsid w:val="00724677"/>
    <w:rsid w:val="00725459"/>
    <w:rsid w:val="00726845"/>
    <w:rsid w:val="007327BD"/>
    <w:rsid w:val="00734608"/>
    <w:rsid w:val="00745302"/>
    <w:rsid w:val="007461D6"/>
    <w:rsid w:val="00746EC8"/>
    <w:rsid w:val="00755354"/>
    <w:rsid w:val="00763BF1"/>
    <w:rsid w:val="00766FD4"/>
    <w:rsid w:val="0078168C"/>
    <w:rsid w:val="00787C2A"/>
    <w:rsid w:val="00790E27"/>
    <w:rsid w:val="0079757E"/>
    <w:rsid w:val="007A4022"/>
    <w:rsid w:val="007A6E6E"/>
    <w:rsid w:val="007B5CB5"/>
    <w:rsid w:val="007C3299"/>
    <w:rsid w:val="007C3BCC"/>
    <w:rsid w:val="007C4546"/>
    <w:rsid w:val="007D6E56"/>
    <w:rsid w:val="007F4155"/>
    <w:rsid w:val="00811486"/>
    <w:rsid w:val="0081554D"/>
    <w:rsid w:val="0081707E"/>
    <w:rsid w:val="0083256E"/>
    <w:rsid w:val="00836199"/>
    <w:rsid w:val="00843577"/>
    <w:rsid w:val="008449B3"/>
    <w:rsid w:val="00855481"/>
    <w:rsid w:val="0085747A"/>
    <w:rsid w:val="0086014F"/>
    <w:rsid w:val="00863186"/>
    <w:rsid w:val="008738BA"/>
    <w:rsid w:val="00884922"/>
    <w:rsid w:val="00885F64"/>
    <w:rsid w:val="008917F9"/>
    <w:rsid w:val="008A45F7"/>
    <w:rsid w:val="008C0CC0"/>
    <w:rsid w:val="008C19A9"/>
    <w:rsid w:val="008C379D"/>
    <w:rsid w:val="008C4855"/>
    <w:rsid w:val="008C5147"/>
    <w:rsid w:val="008C5359"/>
    <w:rsid w:val="008C5363"/>
    <w:rsid w:val="008D3DFB"/>
    <w:rsid w:val="008E64F4"/>
    <w:rsid w:val="008F12C9"/>
    <w:rsid w:val="008F6E29"/>
    <w:rsid w:val="00913AF0"/>
    <w:rsid w:val="00916188"/>
    <w:rsid w:val="00920719"/>
    <w:rsid w:val="00923D7D"/>
    <w:rsid w:val="009508DF"/>
    <w:rsid w:val="00950DAC"/>
    <w:rsid w:val="00954A07"/>
    <w:rsid w:val="00964B39"/>
    <w:rsid w:val="00964BFF"/>
    <w:rsid w:val="00997F14"/>
    <w:rsid w:val="009A24BF"/>
    <w:rsid w:val="009A78D9"/>
    <w:rsid w:val="009C3E31"/>
    <w:rsid w:val="009C54AE"/>
    <w:rsid w:val="009C788E"/>
    <w:rsid w:val="009E3B41"/>
    <w:rsid w:val="009F3C5C"/>
    <w:rsid w:val="009F4610"/>
    <w:rsid w:val="00A00ECC"/>
    <w:rsid w:val="00A03691"/>
    <w:rsid w:val="00A155EE"/>
    <w:rsid w:val="00A2245B"/>
    <w:rsid w:val="00A22D10"/>
    <w:rsid w:val="00A30110"/>
    <w:rsid w:val="00A36899"/>
    <w:rsid w:val="00A371F6"/>
    <w:rsid w:val="00A41872"/>
    <w:rsid w:val="00A43BF6"/>
    <w:rsid w:val="00A5080E"/>
    <w:rsid w:val="00A53FA5"/>
    <w:rsid w:val="00A54817"/>
    <w:rsid w:val="00A601C8"/>
    <w:rsid w:val="00A60799"/>
    <w:rsid w:val="00A84C85"/>
    <w:rsid w:val="00A961DC"/>
    <w:rsid w:val="00A97DE1"/>
    <w:rsid w:val="00AA264D"/>
    <w:rsid w:val="00AB053C"/>
    <w:rsid w:val="00AD1146"/>
    <w:rsid w:val="00AD27D3"/>
    <w:rsid w:val="00AD66D6"/>
    <w:rsid w:val="00AE1160"/>
    <w:rsid w:val="00AE203C"/>
    <w:rsid w:val="00AE2E74"/>
    <w:rsid w:val="00AE5FCB"/>
    <w:rsid w:val="00AE6C15"/>
    <w:rsid w:val="00AF2C1E"/>
    <w:rsid w:val="00B06142"/>
    <w:rsid w:val="00B13277"/>
    <w:rsid w:val="00B135B1"/>
    <w:rsid w:val="00B3130B"/>
    <w:rsid w:val="00B3689F"/>
    <w:rsid w:val="00B40ADB"/>
    <w:rsid w:val="00B43B77"/>
    <w:rsid w:val="00B43E80"/>
    <w:rsid w:val="00B607DB"/>
    <w:rsid w:val="00B636B7"/>
    <w:rsid w:val="00B66529"/>
    <w:rsid w:val="00B75946"/>
    <w:rsid w:val="00B8056E"/>
    <w:rsid w:val="00B819C8"/>
    <w:rsid w:val="00B82308"/>
    <w:rsid w:val="00B82354"/>
    <w:rsid w:val="00B90885"/>
    <w:rsid w:val="00BA1E01"/>
    <w:rsid w:val="00BA6A84"/>
    <w:rsid w:val="00BB520A"/>
    <w:rsid w:val="00BD3869"/>
    <w:rsid w:val="00BD66E9"/>
    <w:rsid w:val="00BD6FF4"/>
    <w:rsid w:val="00BE7D0D"/>
    <w:rsid w:val="00BF2C41"/>
    <w:rsid w:val="00C058B4"/>
    <w:rsid w:val="00C05F44"/>
    <w:rsid w:val="00C131B5"/>
    <w:rsid w:val="00C16ABF"/>
    <w:rsid w:val="00C170AE"/>
    <w:rsid w:val="00C20519"/>
    <w:rsid w:val="00C26CB7"/>
    <w:rsid w:val="00C324C1"/>
    <w:rsid w:val="00C36992"/>
    <w:rsid w:val="00C54105"/>
    <w:rsid w:val="00C56036"/>
    <w:rsid w:val="00C61DC5"/>
    <w:rsid w:val="00C67E92"/>
    <w:rsid w:val="00C70A26"/>
    <w:rsid w:val="00C746B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7123"/>
    <w:rsid w:val="00D352C9"/>
    <w:rsid w:val="00D410C4"/>
    <w:rsid w:val="00D425B2"/>
    <w:rsid w:val="00D428D6"/>
    <w:rsid w:val="00D552B2"/>
    <w:rsid w:val="00D608D1"/>
    <w:rsid w:val="00D63790"/>
    <w:rsid w:val="00D74119"/>
    <w:rsid w:val="00D8075B"/>
    <w:rsid w:val="00D8678B"/>
    <w:rsid w:val="00DA2114"/>
    <w:rsid w:val="00DB262B"/>
    <w:rsid w:val="00DB7882"/>
    <w:rsid w:val="00DE09C0"/>
    <w:rsid w:val="00DE4A14"/>
    <w:rsid w:val="00DF320D"/>
    <w:rsid w:val="00DF71C8"/>
    <w:rsid w:val="00E045D0"/>
    <w:rsid w:val="00E05376"/>
    <w:rsid w:val="00E129B8"/>
    <w:rsid w:val="00E13E4B"/>
    <w:rsid w:val="00E14487"/>
    <w:rsid w:val="00E21E7D"/>
    <w:rsid w:val="00E22FBC"/>
    <w:rsid w:val="00E24BF5"/>
    <w:rsid w:val="00E25338"/>
    <w:rsid w:val="00E37618"/>
    <w:rsid w:val="00E453F2"/>
    <w:rsid w:val="00E51E44"/>
    <w:rsid w:val="00E62D19"/>
    <w:rsid w:val="00E63348"/>
    <w:rsid w:val="00E77E88"/>
    <w:rsid w:val="00E80122"/>
    <w:rsid w:val="00E8107D"/>
    <w:rsid w:val="00E84D8F"/>
    <w:rsid w:val="00E960BB"/>
    <w:rsid w:val="00EA2074"/>
    <w:rsid w:val="00EA4832"/>
    <w:rsid w:val="00EA4E9D"/>
    <w:rsid w:val="00EA715F"/>
    <w:rsid w:val="00EB6EF4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346"/>
    <w:rsid w:val="00F617C3"/>
    <w:rsid w:val="00F7066B"/>
    <w:rsid w:val="00F83B28"/>
    <w:rsid w:val="00FA46E5"/>
    <w:rsid w:val="00FB7DBA"/>
    <w:rsid w:val="00FC1C25"/>
    <w:rsid w:val="00FC3F45"/>
    <w:rsid w:val="00FD185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F5A50"/>
  <w15:docId w15:val="{C0D99736-F245-3449-9871-6FB1BBCF2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link w:val="Nagwek1Znak"/>
    <w:uiPriority w:val="9"/>
    <w:qFormat/>
    <w:rsid w:val="000360D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0360DB"/>
    <w:rPr>
      <w:rFonts w:eastAsia="Times New Roman"/>
      <w:b/>
      <w:bCs/>
      <w:kern w:val="36"/>
      <w:sz w:val="48"/>
      <w:szCs w:val="48"/>
    </w:rPr>
  </w:style>
  <w:style w:type="paragraph" w:styleId="NormalnyWeb">
    <w:name w:val="Normal (Web)"/>
    <w:basedOn w:val="Normalny"/>
    <w:uiPriority w:val="99"/>
    <w:unhideWhenUsed/>
    <w:rsid w:val="00624DA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6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anna-dobaczewska" TargetMode="External"/><Relationship Id="rId13" Type="http://schemas.openxmlformats.org/officeDocument/2006/relationships/hyperlink" Target="https://www.ksiegarnia.beck.pl/autorzy/marian-zdy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ksiegarnia.beck.pl/autorzy/agnieszka-woloszyn-cichocka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siegarnia.beck.pl/autorzy/grzegorz-lubenczu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ksiegarnia.beck.pl/autorzy/jacek-fomela" TargetMode="External"/><Relationship Id="rId10" Type="http://schemas.openxmlformats.org/officeDocument/2006/relationships/hyperlink" Target="https://www.ksiegarnia.beck.pl/autorzy/hanna-wolsk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andrzej-powalowski" TargetMode="External"/><Relationship Id="rId14" Type="http://schemas.openxmlformats.org/officeDocument/2006/relationships/hyperlink" Target="https://www.ksiegarnia.beck.pl/autorzy/marta-dargas-draganik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608BE-5EE6-C645-B948-36E15750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8</Pages>
  <Words>2603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2020-10-15T10:44:00Z</cp:lastPrinted>
  <dcterms:created xsi:type="dcterms:W3CDTF">2023-10-16T09:32:00Z</dcterms:created>
  <dcterms:modified xsi:type="dcterms:W3CDTF">2023-10-16T09:32:00Z</dcterms:modified>
</cp:coreProperties>
</file>